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1"/>
      </w:pPr>
      <w:r>
        <w:rPr>
          <w:rFonts w:hAnsi="Times New Roman" w:cs="Times New Roman"/>
        </w:rPr>
        <w:t xml:space="preserve">109 MINISTARSTVO PRAVOSUĐA, UPRAVE I DIGITALNE TRANSFORMACIJE</w:t>
      </w:r>
    </w:p>
    <w:p>
      <w:pPr>
        <w:jc w:val="both"/>
        <w:pStyle w:val="Normal"/>
      </w:pPr>
      <w:r>
        <w:rPr>
          <w:rFonts w:hAnsi="Times New Roman" w:cs="Times New Roman"/>
        </w:rPr>
        <w:t xml:space="preserve">Stupanjem na snagu Zakona o ustrojstvu i djelokrugu tijela državne uprave u srpnju 2020. ustrojeno je novo tijelo državne uprave Ministarstvo pravosuđa i uprave koje je preuzelo poslove, opremu, pismohranu i drugu dokumentaciju, sredstva za rad, financijska sredstva, prava i obveze Ministarstva pravosuđa i Ministarstva uprave, kao i državne službenike i namještenike zatečene na obavljanju preuzetih poslova. Stupanjem na snagu Zakona o izmjenama i dopunama Zakona o ustrojstvu i djelokrugu tijela državne uprave u svibnju 2024. ustrojeno je Ministarstvo pravosuđa, uprave i digitalne transformacije, koje je preuzelo je poslove, opremu i drugu dokumentaciju, sredstva za rad, financijska sredstva, prava i obveze Središnjeg državnog ureda za razvoj digitalnog društva, kao i državne službenike i namještenike zatečene na obavljanju preuzetih poslova. Vizija Ministarstva je nepristrano, stručno pravosuđe i javna uprava koje opravdavaju povjerenje građana i društva u cjelini i čijem napretku treba doprinositi. Pravosuđe dostupno svima bez razlike, koje, na principima vladavine prava, obavlja svoju funkciju i potpuno je osposobljeno za djelovanje unutar EU i kao takvo odražava najviše europske standarde i korisnički usmjerenu i inovativnu javna uprava. Razvijeno, sigurno i uključivo digitalno društvo ostvareno kroz sinergiju gospodarstva, javne uprave, znanosti, istraživanja i obrazovanja. Misija Ministarstva je osiguravanje uvjeta za kvalitetno funkcioniranje i daljnju izgradnju pravosudnog sustava Republike Hrvatske kao i očuvanje njegovih temeljnih vrijednosti. Misija Ministarstva je i povećanje učinkovitosti i kvalitete javne uprave u pružanju i ostvarivanju prava građana i gospodarskih subjekata Republike Hrvatske, decentralizacija i digitalizacija te razvoj sigurne digitalne infrastrukture, javnih digitalnih usluga i  popularizacija razvoja digitalnog društva u svim područjima života i djelovanja hrvatskih građana, gospodarstva i javnog sektora.
</w:t>
      </w:r>
    </w:p>
    <w:p>
      <w:pPr>
        <w:jc w:val="both"/>
        <w:pStyle w:val="Normal"/>
      </w:pPr>
      <w:r>
        <w:rPr>
          <w:rFonts w:hAnsi="Times New Roman" w:cs="Times New Roman"/>
        </w:rPr>
        <w:t xml:space="preserve">U okviru Razdjela 109 -  Ministarstvo pravosuđa, uprave i digitalne transformacije ustrojeno je 20 proračunskih glava: 05 – Ministarstvo pravosuđa, uprave i digitalne transformacije, 10 – Pravosudna akademija, 15 – Zatvori i kaznionice, 20 – Vrhovni sud Republike Hrvatske, 25 – Visoki trgovački sud Republike Hrvatske, 30 – Visoki upravni sud Republike Hrvatske, 35 – Upravni sudovi, 40 – Državno odvjetništvo Republike Hrvatske, 45 – Državnoodvjetničko vijeće, 50 – Državno sudbeno vijeće, 55 – Visoki prekršajni sud Republike Hrvatske, 60 - Visoki kazneni sud Republike Hrvatske, 65 – Županijski sudovi, 70 – Trgovački sudovi, 75 – Županijska državna odvjetništva, 80 – Općinski sudovi, 85 – Općinska državna odvjetništva, 90 – Državno odvjetništvo, Ured za suzbijanje korupcije i organiziranog kriminaliteta, 95 - Državna škola za javnu upravu i 96 - Centar za mirno rješavanje sporova. U okviru 20 navedenih glava funkcionira 139 proračunskih korisnika od čega 25 kaznenih institucija, 112 pravosudnih tijela te Ministarstvo pravosuđa, uprave i digitalne transformacije i Državna škola za javnu upravu kao zasebni korisnici.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10905-Ministarstvo pravosuđa, uprave i digitalne transformacije</w:t>
            </w:r>
          </w:p>
        </w:tc>
        <w:tc>
          <w:tcPr>
            <w:tcW w:w="1632.96" w:type="dxa"/>
            <w:vAlign w:val="center"/>
          </w:tcPr>
          <w:p>
            <w:pPr>
              <w:jc w:val="both"/>
              <w:pStyle w:val="CellColumn"/>
            </w:pPr>
            <w:r>
              <w:rPr>
                <w:rFonts w:hAnsi="Times New Roman" w:cs="Times New Roman"/>
              </w:rPr>
              <w:t xml:space="preserve">162.557.417</w:t>
            </w:r>
          </w:p>
        </w:tc>
        <w:tc>
          <w:tcPr>
            <w:tcW w:w="1632.96" w:type="dxa"/>
            <w:vAlign w:val="center"/>
          </w:tcPr>
          <w:p>
            <w:pPr>
              <w:jc w:val="both"/>
              <w:pStyle w:val="CellColumn"/>
            </w:pPr>
            <w:r>
              <w:rPr>
                <w:rFonts w:hAnsi="Times New Roman" w:cs="Times New Roman"/>
              </w:rPr>
              <w:t xml:space="preserve">204.480.943</w:t>
            </w:r>
          </w:p>
        </w:tc>
        <w:tc>
          <w:tcPr>
            <w:tcW w:w="1632.96" w:type="dxa"/>
            <w:vAlign w:val="center"/>
          </w:tcPr>
          <w:p>
            <w:pPr>
              <w:jc w:val="both"/>
              <w:pStyle w:val="CellColumn"/>
            </w:pPr>
            <w:r>
              <w:rPr>
                <w:rFonts w:hAnsi="Times New Roman" w:cs="Times New Roman"/>
              </w:rPr>
              <w:t xml:space="preserve">337.126.897</w:t>
            </w:r>
          </w:p>
        </w:tc>
        <w:tc>
          <w:tcPr>
            <w:tcW w:w="1632.96" w:type="dxa"/>
            <w:vAlign w:val="center"/>
          </w:tcPr>
          <w:p>
            <w:pPr>
              <w:jc w:val="both"/>
              <w:pStyle w:val="CellColumn"/>
            </w:pPr>
            <w:r>
              <w:rPr>
                <w:rFonts w:hAnsi="Times New Roman" w:cs="Times New Roman"/>
              </w:rPr>
              <w:t xml:space="preserve">352.096.302</w:t>
            </w:r>
          </w:p>
        </w:tc>
        <w:tc>
          <w:tcPr>
            <w:tcW w:w="1632.96" w:type="dxa"/>
            <w:vAlign w:val="center"/>
          </w:tcPr>
          <w:p>
            <w:pPr>
              <w:jc w:val="both"/>
              <w:pStyle w:val="CellColumn"/>
            </w:pPr>
            <w:r>
              <w:rPr>
                <w:rFonts w:hAnsi="Times New Roman" w:cs="Times New Roman"/>
              </w:rPr>
              <w:t xml:space="preserve">301.887.114</w:t>
            </w:r>
          </w:p>
        </w:tc>
        <w:tc>
          <w:tcPr>
            <w:tcW w:w="510.3" w:type="dxa"/>
            <w:vAlign w:val="center"/>
          </w:tcPr>
          <w:p>
            <w:pPr>
              <w:jc w:val="both"/>
              <w:pStyle w:val="CellColumn"/>
            </w:pPr>
            <w:r>
              <w:rPr>
                <w:rFonts w:hAnsi="Times New Roman" w:cs="Times New Roman"/>
              </w:rPr>
              <w:t xml:space="preserve">164,9</w:t>
            </w:r>
          </w:p>
        </w:tc>
      </w:tr>
      <w:tr>
        <w:trPr>
          <w:cantSplit/>
        </w:trPr>
        <w:tc>
          <w:tcPr>
            <w:tcW w:w="1530.8999999999999" w:type="dxa"/>
            <w:vAlign w:val="center"/>
          </w:tcPr>
          <w:p>
            <w:pPr>
              <w:jc w:val="both"/>
              <w:pStyle w:val="CellColumn"/>
            </w:pPr>
            <w:r>
              <w:rPr>
                <w:rFonts w:hAnsi="Times New Roman" w:cs="Times New Roman"/>
              </w:rPr>
              <w:t xml:space="preserve">10910-Pravosudna akademija</w:t>
            </w:r>
          </w:p>
        </w:tc>
        <w:tc>
          <w:tcPr>
            <w:tcW w:w="1632.96" w:type="dxa"/>
            <w:vAlign w:val="center"/>
          </w:tcPr>
          <w:p>
            <w:pPr>
              <w:jc w:val="both"/>
              <w:pStyle w:val="CellColumn"/>
            </w:pPr>
            <w:r>
              <w:rPr>
                <w:rFonts w:hAnsi="Times New Roman" w:cs="Times New Roman"/>
              </w:rPr>
              <w:t xml:space="preserve">1.479.542</w:t>
            </w:r>
          </w:p>
        </w:tc>
        <w:tc>
          <w:tcPr>
            <w:tcW w:w="1632.96" w:type="dxa"/>
            <w:vAlign w:val="center"/>
          </w:tcPr>
          <w:p>
            <w:pPr>
              <w:jc w:val="both"/>
              <w:pStyle w:val="CellColumn"/>
            </w:pPr>
            <w:r>
              <w:rPr>
                <w:rFonts w:hAnsi="Times New Roman" w:cs="Times New Roman"/>
              </w:rPr>
              <w:t xml:space="preserve">2.054.849</w:t>
            </w:r>
          </w:p>
        </w:tc>
        <w:tc>
          <w:tcPr>
            <w:tcW w:w="1632.96" w:type="dxa"/>
            <w:vAlign w:val="center"/>
          </w:tcPr>
          <w:p>
            <w:pPr>
              <w:jc w:val="both"/>
              <w:pStyle w:val="CellColumn"/>
            </w:pPr>
            <w:r>
              <w:rPr>
                <w:rFonts w:hAnsi="Times New Roman" w:cs="Times New Roman"/>
              </w:rPr>
              <w:t xml:space="preserve">2.041.950</w:t>
            </w:r>
          </w:p>
        </w:tc>
        <w:tc>
          <w:tcPr>
            <w:tcW w:w="1632.96" w:type="dxa"/>
            <w:vAlign w:val="center"/>
          </w:tcPr>
          <w:p>
            <w:pPr>
              <w:jc w:val="both"/>
              <w:pStyle w:val="CellColumn"/>
            </w:pPr>
            <w:r>
              <w:rPr>
                <w:rFonts w:hAnsi="Times New Roman" w:cs="Times New Roman"/>
              </w:rPr>
              <w:t xml:space="preserve">2.084.230</w:t>
            </w:r>
          </w:p>
        </w:tc>
        <w:tc>
          <w:tcPr>
            <w:tcW w:w="1632.96" w:type="dxa"/>
            <w:vAlign w:val="center"/>
          </w:tcPr>
          <w:p>
            <w:pPr>
              <w:jc w:val="both"/>
              <w:pStyle w:val="CellColumn"/>
            </w:pPr>
            <w:r>
              <w:rPr>
                <w:rFonts w:hAnsi="Times New Roman" w:cs="Times New Roman"/>
              </w:rPr>
              <w:t xml:space="preserve">2.109.330</w:t>
            </w:r>
          </w:p>
        </w:tc>
        <w:tc>
          <w:tcPr>
            <w:tcW w:w="510.3" w:type="dxa"/>
            <w:vAlign w:val="center"/>
          </w:tcPr>
          <w:p>
            <w:pPr>
              <w:jc w:val="both"/>
              <w:pStyle w:val="CellColumn"/>
            </w:pPr>
            <w:r>
              <w:rPr>
                <w:rFonts w:hAnsi="Times New Roman" w:cs="Times New Roman"/>
              </w:rPr>
              <w:t xml:space="preserve">99,4</w:t>
            </w:r>
          </w:p>
        </w:tc>
      </w:tr>
      <w:tr>
        <w:trPr>
          <w:cantSplit/>
        </w:trPr>
        <w:tc>
          <w:tcPr>
            <w:tcW w:w="1530.8999999999999" w:type="dxa"/>
            <w:vAlign w:val="center"/>
          </w:tcPr>
          <w:p>
            <w:pPr>
              <w:jc w:val="both"/>
              <w:pStyle w:val="CellColumn"/>
            </w:pPr>
            <w:r>
              <w:rPr>
                <w:rFonts w:hAnsi="Times New Roman" w:cs="Times New Roman"/>
              </w:rPr>
              <w:t xml:space="preserve">10915-Zatvori i kaznionice</w:t>
            </w:r>
          </w:p>
        </w:tc>
        <w:tc>
          <w:tcPr>
            <w:tcW w:w="1632.96" w:type="dxa"/>
            <w:vAlign w:val="center"/>
          </w:tcPr>
          <w:p>
            <w:pPr>
              <w:jc w:val="both"/>
              <w:pStyle w:val="CellColumn"/>
            </w:pPr>
            <w:r>
              <w:rPr>
                <w:rFonts w:hAnsi="Times New Roman" w:cs="Times New Roman"/>
              </w:rPr>
              <w:t xml:space="preserve">101.328.532</w:t>
            </w:r>
          </w:p>
        </w:tc>
        <w:tc>
          <w:tcPr>
            <w:tcW w:w="1632.96" w:type="dxa"/>
            <w:vAlign w:val="center"/>
          </w:tcPr>
          <w:p>
            <w:pPr>
              <w:jc w:val="both"/>
              <w:pStyle w:val="CellColumn"/>
            </w:pPr>
            <w:r>
              <w:rPr>
                <w:rFonts w:hAnsi="Times New Roman" w:cs="Times New Roman"/>
              </w:rPr>
              <w:t xml:space="preserve">128.868.571</w:t>
            </w:r>
          </w:p>
        </w:tc>
        <w:tc>
          <w:tcPr>
            <w:tcW w:w="1632.96" w:type="dxa"/>
            <w:vAlign w:val="center"/>
          </w:tcPr>
          <w:p>
            <w:pPr>
              <w:jc w:val="both"/>
              <w:pStyle w:val="CellColumn"/>
            </w:pPr>
            <w:r>
              <w:rPr>
                <w:rFonts w:hAnsi="Times New Roman" w:cs="Times New Roman"/>
              </w:rPr>
              <w:t xml:space="preserve">141.533.785</w:t>
            </w:r>
          </w:p>
        </w:tc>
        <w:tc>
          <w:tcPr>
            <w:tcW w:w="1632.96" w:type="dxa"/>
            <w:vAlign w:val="center"/>
          </w:tcPr>
          <w:p>
            <w:pPr>
              <w:jc w:val="both"/>
              <w:pStyle w:val="CellColumn"/>
            </w:pPr>
            <w:r>
              <w:rPr>
                <w:rFonts w:hAnsi="Times New Roman" w:cs="Times New Roman"/>
              </w:rPr>
              <w:t xml:space="preserve">133.476.945</w:t>
            </w:r>
          </w:p>
        </w:tc>
        <w:tc>
          <w:tcPr>
            <w:tcW w:w="1632.96" w:type="dxa"/>
            <w:vAlign w:val="center"/>
          </w:tcPr>
          <w:p>
            <w:pPr>
              <w:jc w:val="both"/>
              <w:pStyle w:val="CellColumn"/>
            </w:pPr>
            <w:r>
              <w:rPr>
                <w:rFonts w:hAnsi="Times New Roman" w:cs="Times New Roman"/>
              </w:rPr>
              <w:t xml:space="preserve">132.006.296</w:t>
            </w:r>
          </w:p>
        </w:tc>
        <w:tc>
          <w:tcPr>
            <w:tcW w:w="510.3" w:type="dxa"/>
            <w:vAlign w:val="center"/>
          </w:tcPr>
          <w:p>
            <w:pPr>
              <w:jc w:val="both"/>
              <w:pStyle w:val="CellColumn"/>
            </w:pPr>
            <w:r>
              <w:rPr>
                <w:rFonts w:hAnsi="Times New Roman" w:cs="Times New Roman"/>
              </w:rPr>
              <w:t xml:space="preserve">109,8</w:t>
            </w:r>
          </w:p>
        </w:tc>
      </w:tr>
      <w:tr>
        <w:trPr>
          <w:cantSplit/>
        </w:trPr>
        <w:tc>
          <w:tcPr>
            <w:tcW w:w="1530.8999999999999" w:type="dxa"/>
            <w:vAlign w:val="center"/>
          </w:tcPr>
          <w:p>
            <w:pPr>
              <w:jc w:val="both"/>
              <w:pStyle w:val="CellColumn"/>
            </w:pPr>
            <w:r>
              <w:rPr>
                <w:rFonts w:hAnsi="Times New Roman" w:cs="Times New Roman"/>
              </w:rPr>
              <w:t xml:space="preserve">10920-Vrhovni sud Republike Hrvatske</w:t>
            </w:r>
          </w:p>
        </w:tc>
        <w:tc>
          <w:tcPr>
            <w:tcW w:w="1632.96" w:type="dxa"/>
            <w:vAlign w:val="center"/>
          </w:tcPr>
          <w:p>
            <w:pPr>
              <w:jc w:val="both"/>
              <w:pStyle w:val="CellColumn"/>
            </w:pPr>
            <w:r>
              <w:rPr>
                <w:rFonts w:hAnsi="Times New Roman" w:cs="Times New Roman"/>
              </w:rPr>
              <w:t xml:space="preserve">4.859.802</w:t>
            </w:r>
          </w:p>
        </w:tc>
        <w:tc>
          <w:tcPr>
            <w:tcW w:w="1632.96" w:type="dxa"/>
            <w:vAlign w:val="center"/>
          </w:tcPr>
          <w:p>
            <w:pPr>
              <w:jc w:val="both"/>
              <w:pStyle w:val="CellColumn"/>
            </w:pPr>
            <w:r>
              <w:rPr>
                <w:rFonts w:hAnsi="Times New Roman" w:cs="Times New Roman"/>
              </w:rPr>
              <w:t xml:space="preserve">5.807.175</w:t>
            </w:r>
          </w:p>
        </w:tc>
        <w:tc>
          <w:tcPr>
            <w:tcW w:w="1632.96" w:type="dxa"/>
            <w:vAlign w:val="center"/>
          </w:tcPr>
          <w:p>
            <w:pPr>
              <w:jc w:val="both"/>
              <w:pStyle w:val="CellColumn"/>
            </w:pPr>
            <w:r>
              <w:rPr>
                <w:rFonts w:hAnsi="Times New Roman" w:cs="Times New Roman"/>
              </w:rPr>
              <w:t xml:space="preserve">5.818.421</w:t>
            </w:r>
          </w:p>
        </w:tc>
        <w:tc>
          <w:tcPr>
            <w:tcW w:w="1632.96" w:type="dxa"/>
            <w:vAlign w:val="center"/>
          </w:tcPr>
          <w:p>
            <w:pPr>
              <w:jc w:val="both"/>
              <w:pStyle w:val="CellColumn"/>
            </w:pPr>
            <w:r>
              <w:rPr>
                <w:rFonts w:hAnsi="Times New Roman" w:cs="Times New Roman"/>
              </w:rPr>
              <w:t xml:space="preserve">5.886.500</w:t>
            </w:r>
          </w:p>
        </w:tc>
        <w:tc>
          <w:tcPr>
            <w:tcW w:w="1632.96" w:type="dxa"/>
            <w:vAlign w:val="center"/>
          </w:tcPr>
          <w:p>
            <w:pPr>
              <w:jc w:val="both"/>
              <w:pStyle w:val="CellColumn"/>
            </w:pPr>
            <w:r>
              <w:rPr>
                <w:rFonts w:hAnsi="Times New Roman" w:cs="Times New Roman"/>
              </w:rPr>
              <w:t xml:space="preserve">5.913.790</w:t>
            </w:r>
          </w:p>
        </w:tc>
        <w:tc>
          <w:tcPr>
            <w:tcW w:w="510.3" w:type="dxa"/>
            <w:vAlign w:val="center"/>
          </w:tcPr>
          <w:p>
            <w:pPr>
              <w:jc w:val="both"/>
              <w:pStyle w:val="CellColumn"/>
            </w:pPr>
            <w:r>
              <w:rPr>
                <w:rFonts w:hAnsi="Times New Roman" w:cs="Times New Roman"/>
              </w:rPr>
              <w:t xml:space="preserve">100,2</w:t>
            </w:r>
          </w:p>
        </w:tc>
      </w:tr>
      <w:tr>
        <w:trPr>
          <w:cantSplit/>
        </w:trPr>
        <w:tc>
          <w:tcPr>
            <w:tcW w:w="1530.8999999999999" w:type="dxa"/>
            <w:vAlign w:val="center"/>
          </w:tcPr>
          <w:p>
            <w:pPr>
              <w:jc w:val="both"/>
              <w:pStyle w:val="CellColumn"/>
            </w:pPr>
            <w:r>
              <w:rPr>
                <w:rFonts w:hAnsi="Times New Roman" w:cs="Times New Roman"/>
              </w:rPr>
              <w:t xml:space="preserve">10925-Visoki trgovački sud Republike Hrvatske</w:t>
            </w:r>
          </w:p>
        </w:tc>
        <w:tc>
          <w:tcPr>
            <w:tcW w:w="1632.96" w:type="dxa"/>
            <w:vAlign w:val="center"/>
          </w:tcPr>
          <w:p>
            <w:pPr>
              <w:jc w:val="both"/>
              <w:pStyle w:val="CellColumn"/>
            </w:pPr>
            <w:r>
              <w:rPr>
                <w:rFonts w:hAnsi="Times New Roman" w:cs="Times New Roman"/>
              </w:rPr>
              <w:t xml:space="preserve">3.126.549</w:t>
            </w:r>
          </w:p>
        </w:tc>
        <w:tc>
          <w:tcPr>
            <w:tcW w:w="1632.96" w:type="dxa"/>
            <w:vAlign w:val="center"/>
          </w:tcPr>
          <w:p>
            <w:pPr>
              <w:jc w:val="both"/>
              <w:pStyle w:val="CellColumn"/>
            </w:pPr>
            <w:r>
              <w:rPr>
                <w:rFonts w:hAnsi="Times New Roman" w:cs="Times New Roman"/>
              </w:rPr>
              <w:t xml:space="preserve">3.616.338</w:t>
            </w:r>
          </w:p>
        </w:tc>
        <w:tc>
          <w:tcPr>
            <w:tcW w:w="1632.96" w:type="dxa"/>
            <w:vAlign w:val="center"/>
          </w:tcPr>
          <w:p>
            <w:pPr>
              <w:jc w:val="both"/>
              <w:pStyle w:val="CellColumn"/>
            </w:pPr>
            <w:r>
              <w:rPr>
                <w:rFonts w:hAnsi="Times New Roman" w:cs="Times New Roman"/>
              </w:rPr>
              <w:t xml:space="preserve">3.704.235</w:t>
            </w:r>
          </w:p>
        </w:tc>
        <w:tc>
          <w:tcPr>
            <w:tcW w:w="1632.96" w:type="dxa"/>
            <w:vAlign w:val="center"/>
          </w:tcPr>
          <w:p>
            <w:pPr>
              <w:jc w:val="both"/>
              <w:pStyle w:val="CellColumn"/>
            </w:pPr>
            <w:r>
              <w:rPr>
                <w:rFonts w:hAnsi="Times New Roman" w:cs="Times New Roman"/>
              </w:rPr>
              <w:t xml:space="preserve">3.757.467</w:t>
            </w:r>
          </w:p>
        </w:tc>
        <w:tc>
          <w:tcPr>
            <w:tcW w:w="1632.96" w:type="dxa"/>
            <w:vAlign w:val="center"/>
          </w:tcPr>
          <w:p>
            <w:pPr>
              <w:jc w:val="both"/>
              <w:pStyle w:val="CellColumn"/>
            </w:pPr>
            <w:r>
              <w:rPr>
                <w:rFonts w:hAnsi="Times New Roman" w:cs="Times New Roman"/>
              </w:rPr>
              <w:t xml:space="preserve">3.780.559</w:t>
            </w:r>
          </w:p>
        </w:tc>
        <w:tc>
          <w:tcPr>
            <w:tcW w:w="510.3" w:type="dxa"/>
            <w:vAlign w:val="center"/>
          </w:tcPr>
          <w:p>
            <w:pPr>
              <w:jc w:val="both"/>
              <w:pStyle w:val="CellColumn"/>
            </w:pPr>
            <w:r>
              <w:rPr>
                <w:rFonts w:hAnsi="Times New Roman" w:cs="Times New Roman"/>
              </w:rPr>
              <w:t xml:space="preserve">102,4</w:t>
            </w:r>
          </w:p>
        </w:tc>
      </w:tr>
      <w:tr>
        <w:trPr>
          <w:cantSplit/>
        </w:trPr>
        <w:tc>
          <w:tcPr>
            <w:tcW w:w="1530.8999999999999" w:type="dxa"/>
            <w:vAlign w:val="center"/>
          </w:tcPr>
          <w:p>
            <w:pPr>
              <w:jc w:val="both"/>
              <w:pStyle w:val="CellColumn"/>
            </w:pPr>
            <w:r>
              <w:rPr>
                <w:rFonts w:hAnsi="Times New Roman" w:cs="Times New Roman"/>
              </w:rPr>
              <w:t xml:space="preserve">10930-Visoki upravni sud Republike Hrvatske</w:t>
            </w:r>
          </w:p>
        </w:tc>
        <w:tc>
          <w:tcPr>
            <w:tcW w:w="1632.96" w:type="dxa"/>
            <w:vAlign w:val="center"/>
          </w:tcPr>
          <w:p>
            <w:pPr>
              <w:jc w:val="both"/>
              <w:pStyle w:val="CellColumn"/>
            </w:pPr>
            <w:r>
              <w:rPr>
                <w:rFonts w:hAnsi="Times New Roman" w:cs="Times New Roman"/>
              </w:rPr>
              <w:t xml:space="preserve">2.717.772</w:t>
            </w:r>
          </w:p>
        </w:tc>
        <w:tc>
          <w:tcPr>
            <w:tcW w:w="1632.96" w:type="dxa"/>
            <w:vAlign w:val="center"/>
          </w:tcPr>
          <w:p>
            <w:pPr>
              <w:jc w:val="both"/>
              <w:pStyle w:val="CellColumn"/>
            </w:pPr>
            <w:r>
              <w:rPr>
                <w:rFonts w:hAnsi="Times New Roman" w:cs="Times New Roman"/>
              </w:rPr>
              <w:t xml:space="preserve">3.451.670</w:t>
            </w:r>
          </w:p>
        </w:tc>
        <w:tc>
          <w:tcPr>
            <w:tcW w:w="1632.96" w:type="dxa"/>
            <w:vAlign w:val="center"/>
          </w:tcPr>
          <w:p>
            <w:pPr>
              <w:jc w:val="both"/>
              <w:pStyle w:val="CellColumn"/>
            </w:pPr>
            <w:r>
              <w:rPr>
                <w:rFonts w:hAnsi="Times New Roman" w:cs="Times New Roman"/>
              </w:rPr>
              <w:t xml:space="preserve">3.348.480</w:t>
            </w:r>
          </w:p>
        </w:tc>
        <w:tc>
          <w:tcPr>
            <w:tcW w:w="1632.96" w:type="dxa"/>
            <w:vAlign w:val="center"/>
          </w:tcPr>
          <w:p>
            <w:pPr>
              <w:jc w:val="both"/>
              <w:pStyle w:val="CellColumn"/>
            </w:pPr>
            <w:r>
              <w:rPr>
                <w:rFonts w:hAnsi="Times New Roman" w:cs="Times New Roman"/>
              </w:rPr>
              <w:t xml:space="preserve">3.352.787</w:t>
            </w:r>
          </w:p>
        </w:tc>
        <w:tc>
          <w:tcPr>
            <w:tcW w:w="1632.96" w:type="dxa"/>
            <w:vAlign w:val="center"/>
          </w:tcPr>
          <w:p>
            <w:pPr>
              <w:jc w:val="both"/>
              <w:pStyle w:val="CellColumn"/>
            </w:pPr>
            <w:r>
              <w:rPr>
                <w:rFonts w:hAnsi="Times New Roman" w:cs="Times New Roman"/>
              </w:rPr>
              <w:t xml:space="preserve">3.362.096</w:t>
            </w:r>
          </w:p>
        </w:tc>
        <w:tc>
          <w:tcPr>
            <w:tcW w:w="510.3" w:type="dxa"/>
            <w:vAlign w:val="center"/>
          </w:tcPr>
          <w:p>
            <w:pPr>
              <w:jc w:val="both"/>
              <w:pStyle w:val="CellColumn"/>
            </w:pPr>
            <w:r>
              <w:rPr>
                <w:rFonts w:hAnsi="Times New Roman" w:cs="Times New Roman"/>
              </w:rPr>
              <w:t xml:space="preserve">97,0</w:t>
            </w:r>
          </w:p>
        </w:tc>
      </w:tr>
      <w:tr>
        <w:trPr>
          <w:cantSplit/>
        </w:trPr>
        <w:tc>
          <w:tcPr>
            <w:tcW w:w="1530.8999999999999" w:type="dxa"/>
            <w:vAlign w:val="center"/>
          </w:tcPr>
          <w:p>
            <w:pPr>
              <w:jc w:val="both"/>
              <w:pStyle w:val="CellColumn"/>
            </w:pPr>
            <w:r>
              <w:rPr>
                <w:rFonts w:hAnsi="Times New Roman" w:cs="Times New Roman"/>
              </w:rPr>
              <w:t xml:space="preserve">10935-Upravni sudovi</w:t>
            </w:r>
          </w:p>
        </w:tc>
        <w:tc>
          <w:tcPr>
            <w:tcW w:w="1632.96" w:type="dxa"/>
            <w:vAlign w:val="center"/>
          </w:tcPr>
          <w:p>
            <w:pPr>
              <w:jc w:val="both"/>
              <w:pStyle w:val="CellColumn"/>
            </w:pPr>
            <w:r>
              <w:rPr>
                <w:rFonts w:hAnsi="Times New Roman" w:cs="Times New Roman"/>
              </w:rPr>
              <w:t xml:space="preserve">3.847.297</w:t>
            </w:r>
          </w:p>
        </w:tc>
        <w:tc>
          <w:tcPr>
            <w:tcW w:w="1632.96" w:type="dxa"/>
            <w:vAlign w:val="center"/>
          </w:tcPr>
          <w:p>
            <w:pPr>
              <w:jc w:val="both"/>
              <w:pStyle w:val="CellColumn"/>
            </w:pPr>
            <w:r>
              <w:rPr>
                <w:rFonts w:hAnsi="Times New Roman" w:cs="Times New Roman"/>
              </w:rPr>
              <w:t xml:space="preserve">5.160.874</w:t>
            </w:r>
          </w:p>
        </w:tc>
        <w:tc>
          <w:tcPr>
            <w:tcW w:w="1632.96" w:type="dxa"/>
            <w:vAlign w:val="center"/>
          </w:tcPr>
          <w:p>
            <w:pPr>
              <w:jc w:val="both"/>
              <w:pStyle w:val="CellColumn"/>
            </w:pPr>
            <w:r>
              <w:rPr>
                <w:rFonts w:hAnsi="Times New Roman" w:cs="Times New Roman"/>
              </w:rPr>
              <w:t xml:space="preserve">5.172.009</w:t>
            </w:r>
          </w:p>
        </w:tc>
        <w:tc>
          <w:tcPr>
            <w:tcW w:w="1632.96" w:type="dxa"/>
            <w:vAlign w:val="center"/>
          </w:tcPr>
          <w:p>
            <w:pPr>
              <w:jc w:val="both"/>
              <w:pStyle w:val="CellColumn"/>
            </w:pPr>
            <w:r>
              <w:rPr>
                <w:rFonts w:hAnsi="Times New Roman" w:cs="Times New Roman"/>
              </w:rPr>
              <w:t xml:space="preserve">5.223.857</w:t>
            </w:r>
          </w:p>
        </w:tc>
        <w:tc>
          <w:tcPr>
            <w:tcW w:w="1632.96" w:type="dxa"/>
            <w:vAlign w:val="center"/>
          </w:tcPr>
          <w:p>
            <w:pPr>
              <w:jc w:val="both"/>
              <w:pStyle w:val="CellColumn"/>
            </w:pPr>
            <w:r>
              <w:rPr>
                <w:rFonts w:hAnsi="Times New Roman" w:cs="Times New Roman"/>
              </w:rPr>
              <w:t xml:space="preserve">5.236.478</w:t>
            </w:r>
          </w:p>
        </w:tc>
        <w:tc>
          <w:tcPr>
            <w:tcW w:w="510.3" w:type="dxa"/>
            <w:vAlign w:val="center"/>
          </w:tcPr>
          <w:p>
            <w:pPr>
              <w:jc w:val="both"/>
              <w:pStyle w:val="CellColumn"/>
            </w:pPr>
            <w:r>
              <w:rPr>
                <w:rFonts w:hAnsi="Times New Roman" w:cs="Times New Roman"/>
              </w:rPr>
              <w:t xml:space="preserve">100,2</w:t>
            </w:r>
          </w:p>
        </w:tc>
      </w:tr>
      <w:tr>
        <w:trPr>
          <w:cantSplit/>
        </w:trPr>
        <w:tc>
          <w:tcPr>
            <w:tcW w:w="1530.8999999999999" w:type="dxa"/>
            <w:vAlign w:val="center"/>
          </w:tcPr>
          <w:p>
            <w:pPr>
              <w:jc w:val="both"/>
              <w:pStyle w:val="CellColumn"/>
            </w:pPr>
            <w:r>
              <w:rPr>
                <w:rFonts w:hAnsi="Times New Roman" w:cs="Times New Roman"/>
              </w:rPr>
              <w:t xml:space="preserve">10940-Državno odvjetništvo Republike Hrvatske</w:t>
            </w:r>
          </w:p>
        </w:tc>
        <w:tc>
          <w:tcPr>
            <w:tcW w:w="1632.96" w:type="dxa"/>
            <w:vAlign w:val="center"/>
          </w:tcPr>
          <w:p>
            <w:pPr>
              <w:jc w:val="both"/>
              <w:pStyle w:val="CellColumn"/>
            </w:pPr>
            <w:r>
              <w:rPr>
                <w:rFonts w:hAnsi="Times New Roman" w:cs="Times New Roman"/>
              </w:rPr>
              <w:t xml:space="preserve">7.020.831</w:t>
            </w:r>
          </w:p>
        </w:tc>
        <w:tc>
          <w:tcPr>
            <w:tcW w:w="1632.96" w:type="dxa"/>
            <w:vAlign w:val="center"/>
          </w:tcPr>
          <w:p>
            <w:pPr>
              <w:jc w:val="both"/>
              <w:pStyle w:val="CellColumn"/>
            </w:pPr>
            <w:r>
              <w:rPr>
                <w:rFonts w:hAnsi="Times New Roman" w:cs="Times New Roman"/>
              </w:rPr>
              <w:t xml:space="preserve">9.757.746</w:t>
            </w:r>
          </w:p>
        </w:tc>
        <w:tc>
          <w:tcPr>
            <w:tcW w:w="1632.96" w:type="dxa"/>
            <w:vAlign w:val="center"/>
          </w:tcPr>
          <w:p>
            <w:pPr>
              <w:jc w:val="both"/>
              <w:pStyle w:val="CellColumn"/>
            </w:pPr>
            <w:r>
              <w:rPr>
                <w:rFonts w:hAnsi="Times New Roman" w:cs="Times New Roman"/>
              </w:rPr>
              <w:t xml:space="preserve">14.166.780</w:t>
            </w:r>
          </w:p>
        </w:tc>
        <w:tc>
          <w:tcPr>
            <w:tcW w:w="1632.96" w:type="dxa"/>
            <w:vAlign w:val="center"/>
          </w:tcPr>
          <w:p>
            <w:pPr>
              <w:jc w:val="both"/>
              <w:pStyle w:val="CellColumn"/>
            </w:pPr>
            <w:r>
              <w:rPr>
                <w:rFonts w:hAnsi="Times New Roman" w:cs="Times New Roman"/>
              </w:rPr>
              <w:t xml:space="preserve">12.407.873</w:t>
            </w:r>
          </w:p>
        </w:tc>
        <w:tc>
          <w:tcPr>
            <w:tcW w:w="1632.96" w:type="dxa"/>
            <w:vAlign w:val="center"/>
          </w:tcPr>
          <w:p>
            <w:pPr>
              <w:jc w:val="both"/>
              <w:pStyle w:val="CellColumn"/>
            </w:pPr>
            <w:r>
              <w:rPr>
                <w:rFonts w:hAnsi="Times New Roman" w:cs="Times New Roman"/>
              </w:rPr>
              <w:t xml:space="preserve">12.409.943</w:t>
            </w:r>
          </w:p>
        </w:tc>
        <w:tc>
          <w:tcPr>
            <w:tcW w:w="510.3" w:type="dxa"/>
            <w:vAlign w:val="center"/>
          </w:tcPr>
          <w:p>
            <w:pPr>
              <w:jc w:val="both"/>
              <w:pStyle w:val="CellColumn"/>
            </w:pPr>
            <w:r>
              <w:rPr>
                <w:rFonts w:hAnsi="Times New Roman" w:cs="Times New Roman"/>
              </w:rPr>
              <w:t xml:space="preserve">145,2</w:t>
            </w:r>
          </w:p>
        </w:tc>
      </w:tr>
      <w:tr>
        <w:trPr>
          <w:cantSplit/>
        </w:trPr>
        <w:tc>
          <w:tcPr>
            <w:tcW w:w="1530.8999999999999" w:type="dxa"/>
            <w:vAlign w:val="center"/>
          </w:tcPr>
          <w:p>
            <w:pPr>
              <w:jc w:val="both"/>
              <w:pStyle w:val="CellColumn"/>
            </w:pPr>
            <w:r>
              <w:rPr>
                <w:rFonts w:hAnsi="Times New Roman" w:cs="Times New Roman"/>
              </w:rPr>
              <w:t xml:space="preserve">10945-Državnoodvjetničko vijeće</w:t>
            </w:r>
          </w:p>
        </w:tc>
        <w:tc>
          <w:tcPr>
            <w:tcW w:w="1632.96" w:type="dxa"/>
            <w:vAlign w:val="center"/>
          </w:tcPr>
          <w:p>
            <w:pPr>
              <w:jc w:val="both"/>
              <w:pStyle w:val="CellColumn"/>
            </w:pPr>
            <w:r>
              <w:rPr>
                <w:rFonts w:hAnsi="Times New Roman" w:cs="Times New Roman"/>
              </w:rPr>
              <w:t xml:space="preserve">264.286</w:t>
            </w:r>
          </w:p>
        </w:tc>
        <w:tc>
          <w:tcPr>
            <w:tcW w:w="1632.96" w:type="dxa"/>
            <w:vAlign w:val="center"/>
          </w:tcPr>
          <w:p>
            <w:pPr>
              <w:jc w:val="both"/>
              <w:pStyle w:val="CellColumn"/>
            </w:pPr>
            <w:r>
              <w:rPr>
                <w:rFonts w:hAnsi="Times New Roman" w:cs="Times New Roman"/>
              </w:rPr>
              <w:t xml:space="preserve">323.237</w:t>
            </w:r>
          </w:p>
        </w:tc>
        <w:tc>
          <w:tcPr>
            <w:tcW w:w="1632.96" w:type="dxa"/>
            <w:vAlign w:val="center"/>
          </w:tcPr>
          <w:p>
            <w:pPr>
              <w:jc w:val="both"/>
              <w:pStyle w:val="CellColumn"/>
            </w:pPr>
            <w:r>
              <w:rPr>
                <w:rFonts w:hAnsi="Times New Roman" w:cs="Times New Roman"/>
              </w:rPr>
              <w:t xml:space="preserve">478.516</w:t>
            </w:r>
          </w:p>
        </w:tc>
        <w:tc>
          <w:tcPr>
            <w:tcW w:w="1632.96" w:type="dxa"/>
            <w:vAlign w:val="center"/>
          </w:tcPr>
          <w:p>
            <w:pPr>
              <w:jc w:val="both"/>
              <w:pStyle w:val="CellColumn"/>
            </w:pPr>
            <w:r>
              <w:rPr>
                <w:rFonts w:hAnsi="Times New Roman" w:cs="Times New Roman"/>
              </w:rPr>
              <w:t xml:space="preserve">492.383</w:t>
            </w:r>
          </w:p>
        </w:tc>
        <w:tc>
          <w:tcPr>
            <w:tcW w:w="1632.96" w:type="dxa"/>
            <w:vAlign w:val="center"/>
          </w:tcPr>
          <w:p>
            <w:pPr>
              <w:jc w:val="both"/>
              <w:pStyle w:val="CellColumn"/>
            </w:pPr>
            <w:r>
              <w:rPr>
                <w:rFonts w:hAnsi="Times New Roman" w:cs="Times New Roman"/>
              </w:rPr>
              <w:t xml:space="preserve">495.831</w:t>
            </w:r>
          </w:p>
        </w:tc>
        <w:tc>
          <w:tcPr>
            <w:tcW w:w="510.3" w:type="dxa"/>
            <w:vAlign w:val="center"/>
          </w:tcPr>
          <w:p>
            <w:pPr>
              <w:jc w:val="both"/>
              <w:pStyle w:val="CellColumn"/>
            </w:pPr>
            <w:r>
              <w:rPr>
                <w:rFonts w:hAnsi="Times New Roman" w:cs="Times New Roman"/>
              </w:rPr>
              <w:t xml:space="preserve">148,0</w:t>
            </w:r>
          </w:p>
        </w:tc>
      </w:tr>
      <w:tr>
        <w:trPr>
          <w:cantSplit/>
        </w:trPr>
        <w:tc>
          <w:tcPr>
            <w:tcW w:w="1530.8999999999999" w:type="dxa"/>
            <w:vAlign w:val="center"/>
          </w:tcPr>
          <w:p>
            <w:pPr>
              <w:jc w:val="both"/>
              <w:pStyle w:val="CellColumn"/>
            </w:pPr>
            <w:r>
              <w:rPr>
                <w:rFonts w:hAnsi="Times New Roman" w:cs="Times New Roman"/>
              </w:rPr>
              <w:t xml:space="preserve">10950-Državno sudbeno vijeće</w:t>
            </w:r>
          </w:p>
        </w:tc>
        <w:tc>
          <w:tcPr>
            <w:tcW w:w="1632.96" w:type="dxa"/>
            <w:vAlign w:val="center"/>
          </w:tcPr>
          <w:p>
            <w:pPr>
              <w:jc w:val="both"/>
              <w:pStyle w:val="CellColumn"/>
            </w:pPr>
            <w:r>
              <w:rPr>
                <w:rFonts w:hAnsi="Times New Roman" w:cs="Times New Roman"/>
              </w:rPr>
              <w:t xml:space="preserve">350.591</w:t>
            </w:r>
          </w:p>
        </w:tc>
        <w:tc>
          <w:tcPr>
            <w:tcW w:w="1632.96" w:type="dxa"/>
            <w:vAlign w:val="center"/>
          </w:tcPr>
          <w:p>
            <w:pPr>
              <w:jc w:val="both"/>
              <w:pStyle w:val="CellColumn"/>
            </w:pPr>
            <w:r>
              <w:rPr>
                <w:rFonts w:hAnsi="Times New Roman" w:cs="Times New Roman"/>
              </w:rPr>
              <w:t xml:space="preserve">406.016</w:t>
            </w:r>
          </w:p>
        </w:tc>
        <w:tc>
          <w:tcPr>
            <w:tcW w:w="1632.96" w:type="dxa"/>
            <w:vAlign w:val="center"/>
          </w:tcPr>
          <w:p>
            <w:pPr>
              <w:jc w:val="both"/>
              <w:pStyle w:val="CellColumn"/>
            </w:pPr>
            <w:r>
              <w:rPr>
                <w:rFonts w:hAnsi="Times New Roman" w:cs="Times New Roman"/>
              </w:rPr>
              <w:t xml:space="preserve">440.262</w:t>
            </w:r>
          </w:p>
        </w:tc>
        <w:tc>
          <w:tcPr>
            <w:tcW w:w="1632.96" w:type="dxa"/>
            <w:vAlign w:val="center"/>
          </w:tcPr>
          <w:p>
            <w:pPr>
              <w:jc w:val="both"/>
              <w:pStyle w:val="CellColumn"/>
            </w:pPr>
            <w:r>
              <w:rPr>
                <w:rFonts w:hAnsi="Times New Roman" w:cs="Times New Roman"/>
              </w:rPr>
              <w:t xml:space="preserve">456.257</w:t>
            </w:r>
          </w:p>
        </w:tc>
        <w:tc>
          <w:tcPr>
            <w:tcW w:w="1632.96" w:type="dxa"/>
            <w:vAlign w:val="center"/>
          </w:tcPr>
          <w:p>
            <w:pPr>
              <w:jc w:val="both"/>
              <w:pStyle w:val="CellColumn"/>
            </w:pPr>
            <w:r>
              <w:rPr>
                <w:rFonts w:hAnsi="Times New Roman" w:cs="Times New Roman"/>
              </w:rPr>
              <w:t xml:space="preserve">467.689</w:t>
            </w:r>
          </w:p>
        </w:tc>
        <w:tc>
          <w:tcPr>
            <w:tcW w:w="510.3" w:type="dxa"/>
            <w:vAlign w:val="center"/>
          </w:tcPr>
          <w:p>
            <w:pPr>
              <w:jc w:val="both"/>
              <w:pStyle w:val="CellColumn"/>
            </w:pPr>
            <w:r>
              <w:rPr>
                <w:rFonts w:hAnsi="Times New Roman" w:cs="Times New Roman"/>
              </w:rPr>
              <w:t xml:space="preserve">108,4</w:t>
            </w:r>
          </w:p>
        </w:tc>
      </w:tr>
      <w:tr>
        <w:trPr>
          <w:cantSplit/>
        </w:trPr>
        <w:tc>
          <w:tcPr>
            <w:tcW w:w="1530.8999999999999" w:type="dxa"/>
            <w:vAlign w:val="center"/>
          </w:tcPr>
          <w:p>
            <w:pPr>
              <w:jc w:val="both"/>
              <w:pStyle w:val="CellColumn"/>
            </w:pPr>
            <w:r>
              <w:rPr>
                <w:rFonts w:hAnsi="Times New Roman" w:cs="Times New Roman"/>
              </w:rPr>
              <w:t xml:space="preserve">10955-Visoki prekršajni sud Republike Hrvatske</w:t>
            </w:r>
          </w:p>
        </w:tc>
        <w:tc>
          <w:tcPr>
            <w:tcW w:w="1632.96" w:type="dxa"/>
            <w:vAlign w:val="center"/>
          </w:tcPr>
          <w:p>
            <w:pPr>
              <w:jc w:val="both"/>
              <w:pStyle w:val="CellColumn"/>
            </w:pPr>
            <w:r>
              <w:rPr>
                <w:rFonts w:hAnsi="Times New Roman" w:cs="Times New Roman"/>
              </w:rPr>
              <w:t xml:space="preserve">2.188.250</w:t>
            </w:r>
          </w:p>
        </w:tc>
        <w:tc>
          <w:tcPr>
            <w:tcW w:w="1632.96" w:type="dxa"/>
            <w:vAlign w:val="center"/>
          </w:tcPr>
          <w:p>
            <w:pPr>
              <w:jc w:val="both"/>
              <w:pStyle w:val="CellColumn"/>
            </w:pPr>
            <w:r>
              <w:rPr>
                <w:rFonts w:hAnsi="Times New Roman" w:cs="Times New Roman"/>
              </w:rPr>
              <w:t xml:space="preserve">2.728.586</w:t>
            </w:r>
          </w:p>
        </w:tc>
        <w:tc>
          <w:tcPr>
            <w:tcW w:w="1632.96" w:type="dxa"/>
            <w:vAlign w:val="center"/>
          </w:tcPr>
          <w:p>
            <w:pPr>
              <w:jc w:val="both"/>
              <w:pStyle w:val="CellColumn"/>
            </w:pPr>
            <w:r>
              <w:rPr>
                <w:rFonts w:hAnsi="Times New Roman" w:cs="Times New Roman"/>
              </w:rPr>
              <w:t xml:space="preserve">2.872.372</w:t>
            </w:r>
          </w:p>
        </w:tc>
        <w:tc>
          <w:tcPr>
            <w:tcW w:w="1632.96" w:type="dxa"/>
            <w:vAlign w:val="center"/>
          </w:tcPr>
          <w:p>
            <w:pPr>
              <w:jc w:val="both"/>
              <w:pStyle w:val="CellColumn"/>
            </w:pPr>
            <w:r>
              <w:rPr>
                <w:rFonts w:hAnsi="Times New Roman" w:cs="Times New Roman"/>
              </w:rPr>
              <w:t xml:space="preserve">2.940.582</w:t>
            </w:r>
          </w:p>
        </w:tc>
        <w:tc>
          <w:tcPr>
            <w:tcW w:w="1632.96" w:type="dxa"/>
            <w:vAlign w:val="center"/>
          </w:tcPr>
          <w:p>
            <w:pPr>
              <w:jc w:val="both"/>
              <w:pStyle w:val="CellColumn"/>
            </w:pPr>
            <w:r>
              <w:rPr>
                <w:rFonts w:hAnsi="Times New Roman" w:cs="Times New Roman"/>
              </w:rPr>
              <w:t xml:space="preserve">2.933.092</w:t>
            </w:r>
          </w:p>
        </w:tc>
        <w:tc>
          <w:tcPr>
            <w:tcW w:w="510.3" w:type="dxa"/>
            <w:vAlign w:val="center"/>
          </w:tcPr>
          <w:p>
            <w:pPr>
              <w:jc w:val="both"/>
              <w:pStyle w:val="CellColumn"/>
            </w:pPr>
            <w:r>
              <w:rPr>
                <w:rFonts w:hAnsi="Times New Roman" w:cs="Times New Roman"/>
              </w:rPr>
              <w:t xml:space="preserve">105,3</w:t>
            </w:r>
          </w:p>
        </w:tc>
      </w:tr>
      <w:tr>
        <w:trPr>
          <w:cantSplit/>
        </w:trPr>
        <w:tc>
          <w:tcPr>
            <w:tcW w:w="1530.8999999999999" w:type="dxa"/>
            <w:vAlign w:val="center"/>
          </w:tcPr>
          <w:p>
            <w:pPr>
              <w:jc w:val="both"/>
              <w:pStyle w:val="CellColumn"/>
            </w:pPr>
            <w:r>
              <w:rPr>
                <w:rFonts w:hAnsi="Times New Roman" w:cs="Times New Roman"/>
              </w:rPr>
              <w:t xml:space="preserve">10960-Visoki kazneni sud Republike Hrvatske</w:t>
            </w:r>
          </w:p>
        </w:tc>
        <w:tc>
          <w:tcPr>
            <w:tcW w:w="1632.96" w:type="dxa"/>
            <w:vAlign w:val="center"/>
          </w:tcPr>
          <w:p>
            <w:pPr>
              <w:jc w:val="both"/>
              <w:pStyle w:val="CellColumn"/>
            </w:pPr>
            <w:r>
              <w:rPr>
                <w:rFonts w:hAnsi="Times New Roman" w:cs="Times New Roman"/>
              </w:rPr>
              <w:t xml:space="preserve">1.318.764</w:t>
            </w:r>
          </w:p>
        </w:tc>
        <w:tc>
          <w:tcPr>
            <w:tcW w:w="1632.96" w:type="dxa"/>
            <w:vAlign w:val="center"/>
          </w:tcPr>
          <w:p>
            <w:pPr>
              <w:jc w:val="both"/>
              <w:pStyle w:val="CellColumn"/>
            </w:pPr>
            <w:r>
              <w:rPr>
                <w:rFonts w:hAnsi="Times New Roman" w:cs="Times New Roman"/>
              </w:rPr>
              <w:t xml:space="preserve">1.767.046</w:t>
            </w:r>
          </w:p>
        </w:tc>
        <w:tc>
          <w:tcPr>
            <w:tcW w:w="1632.96" w:type="dxa"/>
            <w:vAlign w:val="center"/>
          </w:tcPr>
          <w:p>
            <w:pPr>
              <w:jc w:val="both"/>
              <w:pStyle w:val="CellColumn"/>
            </w:pPr>
            <w:r>
              <w:rPr>
                <w:rFonts w:hAnsi="Times New Roman" w:cs="Times New Roman"/>
              </w:rPr>
              <w:t xml:space="preserve">1.916.017</w:t>
            </w:r>
          </w:p>
        </w:tc>
        <w:tc>
          <w:tcPr>
            <w:tcW w:w="1632.96" w:type="dxa"/>
            <w:vAlign w:val="center"/>
          </w:tcPr>
          <w:p>
            <w:pPr>
              <w:jc w:val="both"/>
              <w:pStyle w:val="CellColumn"/>
            </w:pPr>
            <w:r>
              <w:rPr>
                <w:rFonts w:hAnsi="Times New Roman" w:cs="Times New Roman"/>
              </w:rPr>
              <w:t xml:space="preserve">1.934.147</w:t>
            </w:r>
          </w:p>
        </w:tc>
        <w:tc>
          <w:tcPr>
            <w:tcW w:w="1632.96" w:type="dxa"/>
            <w:vAlign w:val="center"/>
          </w:tcPr>
          <w:p>
            <w:pPr>
              <w:jc w:val="both"/>
              <w:pStyle w:val="CellColumn"/>
            </w:pPr>
            <w:r>
              <w:rPr>
                <w:rFonts w:hAnsi="Times New Roman" w:cs="Times New Roman"/>
              </w:rPr>
              <w:t xml:space="preserve">1.945.705</w:t>
            </w:r>
          </w:p>
        </w:tc>
        <w:tc>
          <w:tcPr>
            <w:tcW w:w="510.3" w:type="dxa"/>
            <w:vAlign w:val="center"/>
          </w:tcPr>
          <w:p>
            <w:pPr>
              <w:jc w:val="both"/>
              <w:pStyle w:val="CellColumn"/>
            </w:pPr>
            <w:r>
              <w:rPr>
                <w:rFonts w:hAnsi="Times New Roman" w:cs="Times New Roman"/>
              </w:rPr>
              <w:t xml:space="preserve">108,4</w:t>
            </w:r>
          </w:p>
        </w:tc>
      </w:tr>
      <w:tr>
        <w:trPr>
          <w:cantSplit/>
        </w:trPr>
        <w:tc>
          <w:tcPr>
            <w:tcW w:w="1530.8999999999999" w:type="dxa"/>
            <w:vAlign w:val="center"/>
          </w:tcPr>
          <w:p>
            <w:pPr>
              <w:jc w:val="both"/>
              <w:pStyle w:val="CellColumn"/>
            </w:pPr>
            <w:r>
              <w:rPr>
                <w:rFonts w:hAnsi="Times New Roman" w:cs="Times New Roman"/>
              </w:rPr>
              <w:t xml:space="preserve">10965-Županijski sudovi</w:t>
            </w:r>
          </w:p>
        </w:tc>
        <w:tc>
          <w:tcPr>
            <w:tcW w:w="1632.96" w:type="dxa"/>
            <w:vAlign w:val="center"/>
          </w:tcPr>
          <w:p>
            <w:pPr>
              <w:jc w:val="both"/>
              <w:pStyle w:val="CellColumn"/>
            </w:pPr>
            <w:r>
              <w:rPr>
                <w:rFonts w:hAnsi="Times New Roman" w:cs="Times New Roman"/>
              </w:rPr>
              <w:t xml:space="preserve">45.979.625</w:t>
            </w:r>
          </w:p>
        </w:tc>
        <w:tc>
          <w:tcPr>
            <w:tcW w:w="1632.96" w:type="dxa"/>
            <w:vAlign w:val="center"/>
          </w:tcPr>
          <w:p>
            <w:pPr>
              <w:jc w:val="both"/>
              <w:pStyle w:val="CellColumn"/>
            </w:pPr>
            <w:r>
              <w:rPr>
                <w:rFonts w:hAnsi="Times New Roman" w:cs="Times New Roman"/>
              </w:rPr>
              <w:t xml:space="preserve">61.066.657</w:t>
            </w:r>
          </w:p>
        </w:tc>
        <w:tc>
          <w:tcPr>
            <w:tcW w:w="1632.96" w:type="dxa"/>
            <w:vAlign w:val="center"/>
          </w:tcPr>
          <w:p>
            <w:pPr>
              <w:jc w:val="both"/>
              <w:pStyle w:val="CellColumn"/>
            </w:pPr>
            <w:r>
              <w:rPr>
                <w:rFonts w:hAnsi="Times New Roman" w:cs="Times New Roman"/>
              </w:rPr>
              <w:t xml:space="preserve">62.136.712</w:t>
            </w:r>
          </w:p>
        </w:tc>
        <w:tc>
          <w:tcPr>
            <w:tcW w:w="1632.96" w:type="dxa"/>
            <w:vAlign w:val="center"/>
          </w:tcPr>
          <w:p>
            <w:pPr>
              <w:jc w:val="both"/>
              <w:pStyle w:val="CellColumn"/>
            </w:pPr>
            <w:r>
              <w:rPr>
                <w:rFonts w:hAnsi="Times New Roman" w:cs="Times New Roman"/>
              </w:rPr>
              <w:t xml:space="preserve">61.848.700</w:t>
            </w:r>
          </w:p>
        </w:tc>
        <w:tc>
          <w:tcPr>
            <w:tcW w:w="1632.96" w:type="dxa"/>
            <w:vAlign w:val="center"/>
          </w:tcPr>
          <w:p>
            <w:pPr>
              <w:jc w:val="both"/>
              <w:pStyle w:val="CellColumn"/>
            </w:pPr>
            <w:r>
              <w:rPr>
                <w:rFonts w:hAnsi="Times New Roman" w:cs="Times New Roman"/>
              </w:rPr>
              <w:t xml:space="preserve">60.788.661</w:t>
            </w:r>
          </w:p>
        </w:tc>
        <w:tc>
          <w:tcPr>
            <w:tcW w:w="510.3" w:type="dxa"/>
            <w:vAlign w:val="center"/>
          </w:tcPr>
          <w:p>
            <w:pPr>
              <w:jc w:val="both"/>
              <w:pStyle w:val="CellColumn"/>
            </w:pPr>
            <w:r>
              <w:rPr>
                <w:rFonts w:hAnsi="Times New Roman" w:cs="Times New Roman"/>
              </w:rPr>
              <w:t xml:space="preserve">101,8</w:t>
            </w:r>
          </w:p>
        </w:tc>
      </w:tr>
      <w:tr>
        <w:trPr>
          <w:cantSplit/>
        </w:trPr>
        <w:tc>
          <w:tcPr>
            <w:tcW w:w="1530.8999999999999" w:type="dxa"/>
            <w:vAlign w:val="center"/>
          </w:tcPr>
          <w:p>
            <w:pPr>
              <w:jc w:val="both"/>
              <w:pStyle w:val="CellColumn"/>
            </w:pPr>
            <w:r>
              <w:rPr>
                <w:rFonts w:hAnsi="Times New Roman" w:cs="Times New Roman"/>
              </w:rPr>
              <w:t xml:space="preserve">10970-Trgovački sudovi</w:t>
            </w:r>
          </w:p>
        </w:tc>
        <w:tc>
          <w:tcPr>
            <w:tcW w:w="1632.96" w:type="dxa"/>
            <w:vAlign w:val="center"/>
          </w:tcPr>
          <w:p>
            <w:pPr>
              <w:jc w:val="both"/>
              <w:pStyle w:val="CellColumn"/>
            </w:pPr>
            <w:r>
              <w:rPr>
                <w:rFonts w:hAnsi="Times New Roman" w:cs="Times New Roman"/>
              </w:rPr>
              <w:t xml:space="preserve">15.169.977</w:t>
            </w:r>
          </w:p>
        </w:tc>
        <w:tc>
          <w:tcPr>
            <w:tcW w:w="1632.96" w:type="dxa"/>
            <w:vAlign w:val="center"/>
          </w:tcPr>
          <w:p>
            <w:pPr>
              <w:jc w:val="both"/>
              <w:pStyle w:val="CellColumn"/>
            </w:pPr>
            <w:r>
              <w:rPr>
                <w:rFonts w:hAnsi="Times New Roman" w:cs="Times New Roman"/>
              </w:rPr>
              <w:t xml:space="preserve">20.107.323</w:t>
            </w:r>
          </w:p>
        </w:tc>
        <w:tc>
          <w:tcPr>
            <w:tcW w:w="1632.96" w:type="dxa"/>
            <w:vAlign w:val="center"/>
          </w:tcPr>
          <w:p>
            <w:pPr>
              <w:jc w:val="both"/>
              <w:pStyle w:val="CellColumn"/>
            </w:pPr>
            <w:r>
              <w:rPr>
                <w:rFonts w:hAnsi="Times New Roman" w:cs="Times New Roman"/>
              </w:rPr>
              <w:t xml:space="preserve">20.369.583</w:t>
            </w:r>
          </w:p>
        </w:tc>
        <w:tc>
          <w:tcPr>
            <w:tcW w:w="1632.96" w:type="dxa"/>
            <w:vAlign w:val="center"/>
          </w:tcPr>
          <w:p>
            <w:pPr>
              <w:jc w:val="both"/>
              <w:pStyle w:val="CellColumn"/>
            </w:pPr>
            <w:r>
              <w:rPr>
                <w:rFonts w:hAnsi="Times New Roman" w:cs="Times New Roman"/>
              </w:rPr>
              <w:t xml:space="preserve">20.359.278</w:t>
            </w:r>
          </w:p>
        </w:tc>
        <w:tc>
          <w:tcPr>
            <w:tcW w:w="1632.96" w:type="dxa"/>
            <w:vAlign w:val="center"/>
          </w:tcPr>
          <w:p>
            <w:pPr>
              <w:jc w:val="both"/>
              <w:pStyle w:val="CellColumn"/>
            </w:pPr>
            <w:r>
              <w:rPr>
                <w:rFonts w:hAnsi="Times New Roman" w:cs="Times New Roman"/>
              </w:rPr>
              <w:t xml:space="preserve">20.372.428</w:t>
            </w:r>
          </w:p>
        </w:tc>
        <w:tc>
          <w:tcPr>
            <w:tcW w:w="510.3" w:type="dxa"/>
            <w:vAlign w:val="center"/>
          </w:tcPr>
          <w:p>
            <w:pPr>
              <w:jc w:val="both"/>
              <w:pStyle w:val="CellColumn"/>
            </w:pPr>
            <w:r>
              <w:rPr>
                <w:rFonts w:hAnsi="Times New Roman" w:cs="Times New Roman"/>
              </w:rPr>
              <w:t xml:space="preserve">101,3</w:t>
            </w:r>
          </w:p>
        </w:tc>
      </w:tr>
      <w:tr>
        <w:trPr>
          <w:cantSplit/>
        </w:trPr>
        <w:tc>
          <w:tcPr>
            <w:tcW w:w="1530.8999999999999" w:type="dxa"/>
            <w:vAlign w:val="center"/>
          </w:tcPr>
          <w:p>
            <w:pPr>
              <w:jc w:val="both"/>
              <w:pStyle w:val="CellColumn"/>
            </w:pPr>
            <w:r>
              <w:rPr>
                <w:rFonts w:hAnsi="Times New Roman" w:cs="Times New Roman"/>
              </w:rPr>
              <w:t xml:space="preserve">10975-Županijska državna odvjetništva</w:t>
            </w:r>
          </w:p>
        </w:tc>
        <w:tc>
          <w:tcPr>
            <w:tcW w:w="1632.96" w:type="dxa"/>
            <w:vAlign w:val="center"/>
          </w:tcPr>
          <w:p>
            <w:pPr>
              <w:jc w:val="both"/>
              <w:pStyle w:val="CellColumn"/>
            </w:pPr>
            <w:r>
              <w:rPr>
                <w:rFonts w:hAnsi="Times New Roman" w:cs="Times New Roman"/>
              </w:rPr>
              <w:t xml:space="preserve">17.011.115</w:t>
            </w:r>
          </w:p>
        </w:tc>
        <w:tc>
          <w:tcPr>
            <w:tcW w:w="1632.96" w:type="dxa"/>
            <w:vAlign w:val="center"/>
          </w:tcPr>
          <w:p>
            <w:pPr>
              <w:jc w:val="both"/>
              <w:pStyle w:val="CellColumn"/>
            </w:pPr>
            <w:r>
              <w:rPr>
                <w:rFonts w:hAnsi="Times New Roman" w:cs="Times New Roman"/>
              </w:rPr>
              <w:t xml:space="preserve">22.443.739</w:t>
            </w:r>
          </w:p>
        </w:tc>
        <w:tc>
          <w:tcPr>
            <w:tcW w:w="1632.96" w:type="dxa"/>
            <w:vAlign w:val="center"/>
          </w:tcPr>
          <w:p>
            <w:pPr>
              <w:jc w:val="both"/>
              <w:pStyle w:val="CellColumn"/>
            </w:pPr>
            <w:r>
              <w:rPr>
                <w:rFonts w:hAnsi="Times New Roman" w:cs="Times New Roman"/>
              </w:rPr>
              <w:t xml:space="preserve">23.661.851</w:t>
            </w:r>
          </w:p>
        </w:tc>
        <w:tc>
          <w:tcPr>
            <w:tcW w:w="1632.96" w:type="dxa"/>
            <w:vAlign w:val="center"/>
          </w:tcPr>
          <w:p>
            <w:pPr>
              <w:jc w:val="both"/>
              <w:pStyle w:val="CellColumn"/>
            </w:pPr>
            <w:r>
              <w:rPr>
                <w:rFonts w:hAnsi="Times New Roman" w:cs="Times New Roman"/>
              </w:rPr>
              <w:t xml:space="preserve">23.277.644</w:t>
            </w:r>
          </w:p>
        </w:tc>
        <w:tc>
          <w:tcPr>
            <w:tcW w:w="1632.96" w:type="dxa"/>
            <w:vAlign w:val="center"/>
          </w:tcPr>
          <w:p>
            <w:pPr>
              <w:jc w:val="both"/>
              <w:pStyle w:val="CellColumn"/>
            </w:pPr>
            <w:r>
              <w:rPr>
                <w:rFonts w:hAnsi="Times New Roman" w:cs="Times New Roman"/>
              </w:rPr>
              <w:t xml:space="preserve">23.567.684</w:t>
            </w:r>
          </w:p>
        </w:tc>
        <w:tc>
          <w:tcPr>
            <w:tcW w:w="510.3" w:type="dxa"/>
            <w:vAlign w:val="center"/>
          </w:tcPr>
          <w:p>
            <w:pPr>
              <w:jc w:val="both"/>
              <w:pStyle w:val="CellColumn"/>
            </w:pPr>
            <w:r>
              <w:rPr>
                <w:rFonts w:hAnsi="Times New Roman" w:cs="Times New Roman"/>
              </w:rPr>
              <w:t xml:space="preserve">105,4</w:t>
            </w:r>
          </w:p>
        </w:tc>
      </w:tr>
      <w:tr>
        <w:trPr>
          <w:cantSplit/>
        </w:trPr>
        <w:tc>
          <w:tcPr>
            <w:tcW w:w="1530.8999999999999" w:type="dxa"/>
            <w:vAlign w:val="center"/>
          </w:tcPr>
          <w:p>
            <w:pPr>
              <w:jc w:val="both"/>
              <w:pStyle w:val="CellColumn"/>
            </w:pPr>
            <w:r>
              <w:rPr>
                <w:rFonts w:hAnsi="Times New Roman" w:cs="Times New Roman"/>
              </w:rPr>
              <w:t xml:space="preserve">10980-Općinski sudovi</w:t>
            </w:r>
          </w:p>
        </w:tc>
        <w:tc>
          <w:tcPr>
            <w:tcW w:w="1632.96" w:type="dxa"/>
            <w:vAlign w:val="center"/>
          </w:tcPr>
          <w:p>
            <w:pPr>
              <w:jc w:val="both"/>
              <w:pStyle w:val="CellColumn"/>
            </w:pPr>
            <w:r>
              <w:rPr>
                <w:rFonts w:hAnsi="Times New Roman" w:cs="Times New Roman"/>
              </w:rPr>
              <w:t xml:space="preserve">147.674.223</w:t>
            </w:r>
          </w:p>
        </w:tc>
        <w:tc>
          <w:tcPr>
            <w:tcW w:w="1632.96" w:type="dxa"/>
            <w:vAlign w:val="center"/>
          </w:tcPr>
          <w:p>
            <w:pPr>
              <w:jc w:val="both"/>
              <w:pStyle w:val="CellColumn"/>
            </w:pPr>
            <w:r>
              <w:rPr>
                <w:rFonts w:hAnsi="Times New Roman" w:cs="Times New Roman"/>
              </w:rPr>
              <w:t xml:space="preserve">193.055.612</w:t>
            </w:r>
          </w:p>
        </w:tc>
        <w:tc>
          <w:tcPr>
            <w:tcW w:w="1632.96" w:type="dxa"/>
            <w:vAlign w:val="center"/>
          </w:tcPr>
          <w:p>
            <w:pPr>
              <w:jc w:val="both"/>
              <w:pStyle w:val="CellColumn"/>
            </w:pPr>
            <w:r>
              <w:rPr>
                <w:rFonts w:hAnsi="Times New Roman" w:cs="Times New Roman"/>
              </w:rPr>
              <w:t xml:space="preserve">188.977.040</w:t>
            </w:r>
          </w:p>
        </w:tc>
        <w:tc>
          <w:tcPr>
            <w:tcW w:w="1632.96" w:type="dxa"/>
            <w:vAlign w:val="center"/>
          </w:tcPr>
          <w:p>
            <w:pPr>
              <w:jc w:val="both"/>
              <w:pStyle w:val="CellColumn"/>
            </w:pPr>
            <w:r>
              <w:rPr>
                <w:rFonts w:hAnsi="Times New Roman" w:cs="Times New Roman"/>
              </w:rPr>
              <w:t xml:space="preserve">193.584.916</w:t>
            </w:r>
          </w:p>
        </w:tc>
        <w:tc>
          <w:tcPr>
            <w:tcW w:w="1632.96" w:type="dxa"/>
            <w:vAlign w:val="center"/>
          </w:tcPr>
          <w:p>
            <w:pPr>
              <w:jc w:val="both"/>
              <w:pStyle w:val="CellColumn"/>
            </w:pPr>
            <w:r>
              <w:rPr>
                <w:rFonts w:hAnsi="Times New Roman" w:cs="Times New Roman"/>
              </w:rPr>
              <w:t xml:space="preserve">193.544.869</w:t>
            </w:r>
          </w:p>
        </w:tc>
        <w:tc>
          <w:tcPr>
            <w:tcW w:w="510.3" w:type="dxa"/>
            <w:vAlign w:val="center"/>
          </w:tcPr>
          <w:p>
            <w:pPr>
              <w:jc w:val="both"/>
              <w:pStyle w:val="CellColumn"/>
            </w:pPr>
            <w:r>
              <w:rPr>
                <w:rFonts w:hAnsi="Times New Roman" w:cs="Times New Roman"/>
              </w:rPr>
              <w:t xml:space="preserve">97,9</w:t>
            </w:r>
          </w:p>
        </w:tc>
      </w:tr>
      <w:tr>
        <w:trPr>
          <w:cantSplit/>
        </w:trPr>
        <w:tc>
          <w:tcPr>
            <w:tcW w:w="1530.8999999999999" w:type="dxa"/>
            <w:vAlign w:val="center"/>
          </w:tcPr>
          <w:p>
            <w:pPr>
              <w:jc w:val="both"/>
              <w:pStyle w:val="CellColumn"/>
            </w:pPr>
            <w:r>
              <w:rPr>
                <w:rFonts w:hAnsi="Times New Roman" w:cs="Times New Roman"/>
              </w:rPr>
              <w:t xml:space="preserve">10985-Općinska državna odvjetništva</w:t>
            </w:r>
          </w:p>
        </w:tc>
        <w:tc>
          <w:tcPr>
            <w:tcW w:w="1632.96" w:type="dxa"/>
            <w:vAlign w:val="center"/>
          </w:tcPr>
          <w:p>
            <w:pPr>
              <w:jc w:val="both"/>
              <w:pStyle w:val="CellColumn"/>
            </w:pPr>
            <w:r>
              <w:rPr>
                <w:rFonts w:hAnsi="Times New Roman" w:cs="Times New Roman"/>
              </w:rPr>
              <w:t xml:space="preserve">36.450.916</w:t>
            </w:r>
          </w:p>
        </w:tc>
        <w:tc>
          <w:tcPr>
            <w:tcW w:w="1632.96" w:type="dxa"/>
            <w:vAlign w:val="center"/>
          </w:tcPr>
          <w:p>
            <w:pPr>
              <w:jc w:val="both"/>
              <w:pStyle w:val="CellColumn"/>
            </w:pPr>
            <w:r>
              <w:rPr>
                <w:rFonts w:hAnsi="Times New Roman" w:cs="Times New Roman"/>
              </w:rPr>
              <w:t xml:space="preserve">48.903.552</w:t>
            </w:r>
          </w:p>
        </w:tc>
        <w:tc>
          <w:tcPr>
            <w:tcW w:w="1632.96" w:type="dxa"/>
            <w:vAlign w:val="center"/>
          </w:tcPr>
          <w:p>
            <w:pPr>
              <w:jc w:val="both"/>
              <w:pStyle w:val="CellColumn"/>
            </w:pPr>
            <w:r>
              <w:rPr>
                <w:rFonts w:hAnsi="Times New Roman" w:cs="Times New Roman"/>
              </w:rPr>
              <w:t xml:space="preserve">50.792.033</w:t>
            </w:r>
          </w:p>
        </w:tc>
        <w:tc>
          <w:tcPr>
            <w:tcW w:w="1632.96" w:type="dxa"/>
            <w:vAlign w:val="center"/>
          </w:tcPr>
          <w:p>
            <w:pPr>
              <w:jc w:val="both"/>
              <w:pStyle w:val="CellColumn"/>
            </w:pPr>
            <w:r>
              <w:rPr>
                <w:rFonts w:hAnsi="Times New Roman" w:cs="Times New Roman"/>
              </w:rPr>
              <w:t xml:space="preserve">52.173.062</w:t>
            </w:r>
          </w:p>
        </w:tc>
        <w:tc>
          <w:tcPr>
            <w:tcW w:w="1632.96" w:type="dxa"/>
            <w:vAlign w:val="center"/>
          </w:tcPr>
          <w:p>
            <w:pPr>
              <w:jc w:val="both"/>
              <w:pStyle w:val="CellColumn"/>
            </w:pPr>
            <w:r>
              <w:rPr>
                <w:rFonts w:hAnsi="Times New Roman" w:cs="Times New Roman"/>
              </w:rPr>
              <w:t xml:space="preserve">52.455.109</w:t>
            </w:r>
          </w:p>
        </w:tc>
        <w:tc>
          <w:tcPr>
            <w:tcW w:w="510.3" w:type="dxa"/>
            <w:vAlign w:val="center"/>
          </w:tcPr>
          <w:p>
            <w:pPr>
              <w:jc w:val="both"/>
              <w:pStyle w:val="CellColumn"/>
            </w:pPr>
            <w:r>
              <w:rPr>
                <w:rFonts w:hAnsi="Times New Roman" w:cs="Times New Roman"/>
              </w:rPr>
              <w:t xml:space="preserve">103,9</w:t>
            </w:r>
          </w:p>
        </w:tc>
      </w:tr>
      <w:tr>
        <w:trPr>
          <w:cantSplit/>
        </w:trPr>
        <w:tc>
          <w:tcPr>
            <w:tcW w:w="1530.8999999999999" w:type="dxa"/>
            <w:vAlign w:val="center"/>
          </w:tcPr>
          <w:p>
            <w:pPr>
              <w:jc w:val="both"/>
              <w:pStyle w:val="CellColumn"/>
            </w:pPr>
            <w:r>
              <w:rPr>
                <w:rFonts w:hAnsi="Times New Roman" w:cs="Times New Roman"/>
              </w:rPr>
              <w:t xml:space="preserve">10990-Državno odvjetništvo, Ured za suzbijanje korupcije i organiziranog kriminaliteta</w:t>
            </w:r>
          </w:p>
        </w:tc>
        <w:tc>
          <w:tcPr>
            <w:tcW w:w="1632.96" w:type="dxa"/>
            <w:vAlign w:val="center"/>
          </w:tcPr>
          <w:p>
            <w:pPr>
              <w:jc w:val="both"/>
              <w:pStyle w:val="CellColumn"/>
            </w:pPr>
            <w:r>
              <w:rPr>
                <w:rFonts w:hAnsi="Times New Roman" w:cs="Times New Roman"/>
              </w:rPr>
              <w:t xml:space="preserve">4.432.846</w:t>
            </w:r>
          </w:p>
        </w:tc>
        <w:tc>
          <w:tcPr>
            <w:tcW w:w="1632.96" w:type="dxa"/>
            <w:vAlign w:val="center"/>
          </w:tcPr>
          <w:p>
            <w:pPr>
              <w:jc w:val="both"/>
              <w:pStyle w:val="CellColumn"/>
            </w:pPr>
            <w:r>
              <w:rPr>
                <w:rFonts w:hAnsi="Times New Roman" w:cs="Times New Roman"/>
              </w:rPr>
              <w:t xml:space="preserve">5.698.079</w:t>
            </w:r>
          </w:p>
        </w:tc>
        <w:tc>
          <w:tcPr>
            <w:tcW w:w="1632.96" w:type="dxa"/>
            <w:vAlign w:val="center"/>
          </w:tcPr>
          <w:p>
            <w:pPr>
              <w:jc w:val="both"/>
              <w:pStyle w:val="CellColumn"/>
            </w:pPr>
            <w:r>
              <w:rPr>
                <w:rFonts w:hAnsi="Times New Roman" w:cs="Times New Roman"/>
              </w:rPr>
              <w:t xml:space="preserve">6.035.483</w:t>
            </w:r>
          </w:p>
        </w:tc>
        <w:tc>
          <w:tcPr>
            <w:tcW w:w="1632.96" w:type="dxa"/>
            <w:vAlign w:val="center"/>
          </w:tcPr>
          <w:p>
            <w:pPr>
              <w:jc w:val="both"/>
              <w:pStyle w:val="CellColumn"/>
            </w:pPr>
            <w:r>
              <w:rPr>
                <w:rFonts w:hAnsi="Times New Roman" w:cs="Times New Roman"/>
              </w:rPr>
              <w:t xml:space="preserve">6.035.483</w:t>
            </w:r>
          </w:p>
        </w:tc>
        <w:tc>
          <w:tcPr>
            <w:tcW w:w="1632.96" w:type="dxa"/>
            <w:vAlign w:val="center"/>
          </w:tcPr>
          <w:p>
            <w:pPr>
              <w:jc w:val="both"/>
              <w:pStyle w:val="CellColumn"/>
            </w:pPr>
            <w:r>
              <w:rPr>
                <w:rFonts w:hAnsi="Times New Roman" w:cs="Times New Roman"/>
              </w:rPr>
              <w:t xml:space="preserve">6.038.324</w:t>
            </w:r>
          </w:p>
        </w:tc>
        <w:tc>
          <w:tcPr>
            <w:tcW w:w="510.3" w:type="dxa"/>
            <w:vAlign w:val="center"/>
          </w:tcPr>
          <w:p>
            <w:pPr>
              <w:jc w:val="both"/>
              <w:pStyle w:val="CellColumn"/>
            </w:pPr>
            <w:r>
              <w:rPr>
                <w:rFonts w:hAnsi="Times New Roman" w:cs="Times New Roman"/>
              </w:rPr>
              <w:t xml:space="preserve">105,9</w:t>
            </w:r>
          </w:p>
        </w:tc>
      </w:tr>
      <w:tr>
        <w:trPr>
          <w:cantSplit/>
        </w:trPr>
        <w:tc>
          <w:tcPr>
            <w:tcW w:w="1530.8999999999999" w:type="dxa"/>
            <w:vAlign w:val="center"/>
          </w:tcPr>
          <w:p>
            <w:pPr>
              <w:jc w:val="both"/>
              <w:pStyle w:val="CellColumn"/>
            </w:pPr>
            <w:r>
              <w:rPr>
                <w:rFonts w:hAnsi="Times New Roman" w:cs="Times New Roman"/>
              </w:rPr>
              <w:t xml:space="preserve">10995-Državna škola za javnu upravu</w:t>
            </w:r>
          </w:p>
        </w:tc>
        <w:tc>
          <w:tcPr>
            <w:tcW w:w="1632.96" w:type="dxa"/>
            <w:vAlign w:val="center"/>
          </w:tcPr>
          <w:p>
            <w:pPr>
              <w:jc w:val="both"/>
              <w:pStyle w:val="CellColumn"/>
            </w:pPr>
            <w:r>
              <w:rPr>
                <w:rFonts w:hAnsi="Times New Roman" w:cs="Times New Roman"/>
              </w:rPr>
              <w:t xml:space="preserve">1.978.432</w:t>
            </w:r>
          </w:p>
        </w:tc>
        <w:tc>
          <w:tcPr>
            <w:tcW w:w="1632.96" w:type="dxa"/>
            <w:vAlign w:val="center"/>
          </w:tcPr>
          <w:p>
            <w:pPr>
              <w:jc w:val="both"/>
              <w:pStyle w:val="CellColumn"/>
            </w:pPr>
            <w:r>
              <w:rPr>
                <w:rFonts w:hAnsi="Times New Roman" w:cs="Times New Roman"/>
              </w:rPr>
              <w:t xml:space="preserve">1.287.874</w:t>
            </w:r>
          </w:p>
        </w:tc>
        <w:tc>
          <w:tcPr>
            <w:tcW w:w="1632.96" w:type="dxa"/>
            <w:vAlign w:val="center"/>
          </w:tcPr>
          <w:p>
            <w:pPr>
              <w:jc w:val="both"/>
              <w:pStyle w:val="CellColumn"/>
            </w:pPr>
            <w:r>
              <w:rPr>
                <w:rFonts w:hAnsi="Times New Roman" w:cs="Times New Roman"/>
              </w:rPr>
              <w:t xml:space="preserve">1.273.844</w:t>
            </w:r>
          </w:p>
        </w:tc>
        <w:tc>
          <w:tcPr>
            <w:tcW w:w="1632.96" w:type="dxa"/>
            <w:vAlign w:val="center"/>
          </w:tcPr>
          <w:p>
            <w:pPr>
              <w:jc w:val="both"/>
              <w:pStyle w:val="CellColumn"/>
            </w:pPr>
            <w:r>
              <w:rPr>
                <w:rFonts w:hAnsi="Times New Roman" w:cs="Times New Roman"/>
              </w:rPr>
              <w:t xml:space="preserve">1.357.067</w:t>
            </w:r>
          </w:p>
        </w:tc>
        <w:tc>
          <w:tcPr>
            <w:tcW w:w="1632.96" w:type="dxa"/>
            <w:vAlign w:val="center"/>
          </w:tcPr>
          <w:p>
            <w:pPr>
              <w:jc w:val="both"/>
              <w:pStyle w:val="CellColumn"/>
            </w:pPr>
            <w:r>
              <w:rPr>
                <w:rFonts w:hAnsi="Times New Roman" w:cs="Times New Roman"/>
              </w:rPr>
              <w:t xml:space="preserve">1.382.612</w:t>
            </w:r>
          </w:p>
        </w:tc>
        <w:tc>
          <w:tcPr>
            <w:tcW w:w="510.3" w:type="dxa"/>
            <w:vAlign w:val="center"/>
          </w:tcPr>
          <w:p>
            <w:pPr>
              <w:jc w:val="both"/>
              <w:pStyle w:val="CellColumn"/>
            </w:pPr>
            <w:r>
              <w:rPr>
                <w:rFonts w:hAnsi="Times New Roman" w:cs="Times New Roman"/>
              </w:rPr>
              <w:t xml:space="preserve">98,9</w:t>
            </w:r>
          </w:p>
        </w:tc>
      </w:tr>
      <w:tr>
        <w:trPr>
          <w:cantSplit/>
        </w:trPr>
        <w:tc>
          <w:tcPr>
            <w:tcW w:w="1530.8999999999999" w:type="dxa"/>
            <w:vAlign w:val="center"/>
          </w:tcPr>
          <w:p>
            <w:pPr>
              <w:jc w:val="both"/>
              <w:pStyle w:val="CellColumn"/>
            </w:pPr>
            <w:r>
              <w:rPr>
                <w:rFonts w:hAnsi="Times New Roman" w:cs="Times New Roman"/>
              </w:rPr>
              <w:t xml:space="preserve">10996-Centar za mirno rješavanje sporova</w:t>
            </w:r>
          </w:p>
        </w:tc>
        <w:tc>
          <w:tcPr>
            <w:tcW w:w="1632.96" w:type="dxa"/>
            <w:vAlign w:val="center"/>
          </w:tcPr>
          <w:p>
            <w:pPr>
              <w:jc w:val="both"/>
              <w:pStyle w:val="CellColumn"/>
            </w:pPr>
            <w:r>
              <w:rPr>
                <w:rFonts w:hAnsi="Times New Roman" w:cs="Times New Roman"/>
              </w:rPr>
              <w:t xml:space="preserve">13.645</w:t>
            </w:r>
          </w:p>
        </w:tc>
        <w:tc>
          <w:tcPr>
            <w:tcW w:w="1632.96" w:type="dxa"/>
            <w:vAlign w:val="center"/>
          </w:tcPr>
          <w:p>
            <w:pPr>
              <w:jc w:val="both"/>
              <w:pStyle w:val="CellColumn"/>
            </w:pPr>
            <w:r>
              <w:rPr>
                <w:rFonts w:hAnsi="Times New Roman" w:cs="Times New Roman"/>
              </w:rPr>
              <w:t xml:space="preserve">446.769</w:t>
            </w:r>
          </w:p>
        </w:tc>
        <w:tc>
          <w:tcPr>
            <w:tcW w:w="1632.96" w:type="dxa"/>
            <w:vAlign w:val="center"/>
          </w:tcPr>
          <w:p>
            <w:pPr>
              <w:jc w:val="both"/>
              <w:pStyle w:val="CellColumn"/>
            </w:pPr>
            <w:r>
              <w:rPr>
                <w:rFonts w:hAnsi="Times New Roman" w:cs="Times New Roman"/>
              </w:rPr>
              <w:t xml:space="preserve">868.440</w:t>
            </w:r>
          </w:p>
        </w:tc>
        <w:tc>
          <w:tcPr>
            <w:tcW w:w="1632.96" w:type="dxa"/>
            <w:vAlign w:val="center"/>
          </w:tcPr>
          <w:p>
            <w:pPr>
              <w:jc w:val="both"/>
              <w:pStyle w:val="CellColumn"/>
            </w:pPr>
            <w:r>
              <w:rPr>
                <w:rFonts w:hAnsi="Times New Roman" w:cs="Times New Roman"/>
              </w:rPr>
              <w:t xml:space="preserve">954.710</w:t>
            </w:r>
          </w:p>
        </w:tc>
        <w:tc>
          <w:tcPr>
            <w:tcW w:w="1632.96" w:type="dxa"/>
            <w:vAlign w:val="center"/>
          </w:tcPr>
          <w:p>
            <w:pPr>
              <w:jc w:val="both"/>
              <w:pStyle w:val="CellColumn"/>
            </w:pPr>
            <w:r>
              <w:rPr>
                <w:rFonts w:hAnsi="Times New Roman" w:cs="Times New Roman"/>
              </w:rPr>
              <w:t xml:space="preserve">960.870</w:t>
            </w:r>
          </w:p>
        </w:tc>
        <w:tc>
          <w:tcPr>
            <w:tcW w:w="510.3" w:type="dxa"/>
            <w:vAlign w:val="center"/>
          </w:tcPr>
          <w:p>
            <w:pPr>
              <w:jc w:val="both"/>
              <w:pStyle w:val="CellColumn"/>
            </w:pPr>
            <w:r>
              <w:rPr>
                <w:rFonts w:hAnsi="Times New Roman" w:cs="Times New Roman"/>
              </w:rPr>
              <w:t xml:space="preserve">194,4</w:t>
            </w:r>
          </w:p>
        </w:tc>
      </w:tr>
      <w:tr>
        <w:trPr>
          <w:cantSplit/>
        </w:trPr>
        <w:tc>
          <w:tcPr>
            <w:tcW w:w="1530.8999999999999" w:type="dxa"/>
            <w:vAlign w:val="center"/>
            <w:shd w:val="clear" w:color="auto" w:fill="b5c0d8"/>
          </w:tcPr>
          <w:p>
            <w:pPr>
              <w:jc w:val="both"/>
              <w:pStyle w:val="CellColumn"/>
            </w:pPr>
            <w:r>
              <w:rPr>
                <w:rFonts w:hAnsi="Times New Roman" w:cs="Times New Roman"/>
              </w:rPr>
              <w:t xml:space="preserve">Ukupno 109</w:t>
            </w:r>
          </w:p>
        </w:tc>
        <w:tc>
          <w:tcPr>
            <w:tcW w:w="1632.96" w:type="dxa"/>
            <w:vAlign w:val="center"/>
            <w:shd w:val="clear" w:color="auto" w:fill="b5c0d8"/>
          </w:tcPr>
          <w:p>
            <w:pPr>
              <w:jc w:val="both"/>
              <w:pStyle w:val="CellColumn"/>
            </w:pPr>
            <w:r>
              <w:rPr>
                <w:rFonts w:hAnsi="Times New Roman" w:cs="Times New Roman"/>
              </w:rPr>
              <w:t xml:space="preserve">559.770.411</w:t>
            </w:r>
          </w:p>
        </w:tc>
        <w:tc>
          <w:tcPr>
            <w:tcW w:w="1632.96" w:type="dxa"/>
            <w:vAlign w:val="center"/>
            <w:shd w:val="clear" w:color="auto" w:fill="b5c0d8"/>
          </w:tcPr>
          <w:p>
            <w:pPr>
              <w:jc w:val="both"/>
              <w:pStyle w:val="CellColumn"/>
            </w:pPr>
            <w:r>
              <w:rPr>
                <w:rFonts w:hAnsi="Times New Roman" w:cs="Times New Roman"/>
              </w:rPr>
              <w:t xml:space="preserve">721.432.656</w:t>
            </w:r>
          </w:p>
        </w:tc>
        <w:tc>
          <w:tcPr>
            <w:tcW w:w="1632.96" w:type="dxa"/>
            <w:vAlign w:val="center"/>
            <w:shd w:val="clear" w:color="auto" w:fill="b5c0d8"/>
          </w:tcPr>
          <w:p>
            <w:pPr>
              <w:jc w:val="both"/>
              <w:pStyle w:val="CellColumn"/>
            </w:pPr>
            <w:r>
              <w:rPr>
                <w:rFonts w:hAnsi="Times New Roman" w:cs="Times New Roman"/>
              </w:rPr>
              <w:t xml:space="preserve">872.734.710</w:t>
            </w:r>
          </w:p>
        </w:tc>
        <w:tc>
          <w:tcPr>
            <w:tcW w:w="1632.96" w:type="dxa"/>
            <w:vAlign w:val="center"/>
            <w:shd w:val="clear" w:color="auto" w:fill="b5c0d8"/>
          </w:tcPr>
          <w:p>
            <w:pPr>
              <w:jc w:val="both"/>
              <w:pStyle w:val="CellColumn"/>
            </w:pPr>
            <w:r>
              <w:rPr>
                <w:rFonts w:hAnsi="Times New Roman" w:cs="Times New Roman"/>
              </w:rPr>
              <w:t xml:space="preserve">883.700.190</w:t>
            </w:r>
          </w:p>
        </w:tc>
        <w:tc>
          <w:tcPr>
            <w:tcW w:w="1632.96" w:type="dxa"/>
            <w:vAlign w:val="center"/>
            <w:shd w:val="clear" w:color="auto" w:fill="b5c0d8"/>
          </w:tcPr>
          <w:p>
            <w:pPr>
              <w:jc w:val="both"/>
              <w:pStyle w:val="CellColumn"/>
            </w:pPr>
            <w:r>
              <w:rPr>
                <w:rFonts w:hAnsi="Times New Roman" w:cs="Times New Roman"/>
              </w:rPr>
              <w:t xml:space="preserve">831.658.480</w:t>
            </w:r>
          </w:p>
        </w:tc>
        <w:tc>
          <w:tcPr>
            <w:tcW w:w="510.3" w:type="dxa"/>
            <w:vAlign w:val="center"/>
            <w:shd w:val="clear" w:color="auto" w:fill="b5c0d8"/>
          </w:tcPr>
          <w:p>
            <w:pPr>
              <w:jc w:val="both"/>
              <w:pStyle w:val="CellColumn"/>
            </w:pPr>
            <w:r>
              <w:rPr>
                <w:rFonts w:hAnsi="Times New Roman" w:cs="Times New Roman"/>
              </w:rPr>
              <w:t xml:space="preserve">121,0</w:t>
            </w:r>
          </w:p>
        </w:tc>
      </w:tr>
    </w:tbl>
    <w:p>
      <w:pPr>
        <w:jc w:val="left"/>
      </w:pPr>
      <w:r>
        <w:rPr>
          <w:rFonts w:hAnsi="Times New Roman" w:cs="Times New Roman"/>
        </w:rPr>
        <w:t xml:space="preserve"/>
      </w:r>
    </w:p>
    <w:p>
      <w:pPr>
        <w:jc w:val="left"/>
        <w:pStyle w:val="Heading2"/>
      </w:pPr>
      <w:r>
        <w:rPr>
          <w:rFonts w:hAnsi="Times New Roman" w:cs="Times New Roman"/>
        </w:rPr>
        <w:t xml:space="preserve">10905 Ministarstvo pravosuđa, uprave i digitalne transformacije</w:t>
      </w:r>
    </w:p>
    <w:p>
      <w:pPr>
        <w:jc w:val="both"/>
        <w:pStyle w:val="Normal3"/>
      </w:pPr>
      <w:r>
        <w:rPr>
          <w:rFonts w:hAnsi="Times New Roman" w:cs="Times New Roman"/>
        </w:rPr>
        <w:t xml:space="preserve">Ministarstvo pravosuđa, uprave i digitalne transformacije obavlja upravne i druge poslove koji se odnose na: područje građanskog, kaznenog, prekršajnog i trgovačkog prava te upravnog sudovanja; ustrojstvo i rad te stručno osposobljavanje u tijelima koja izvršavaju kaznene i prekršajne sankcije, upravne i druge poslove u javnom bilježništvu i odvjetništvu; sudske i javnobilježničke pristojbe; međunarodnu pravnu pomoć i druge oblike pravne pomoći; izvršavanje kaznenih i prekršajnih sankcija, pomilovanja i uvjetne otpuste; upravne i stručne probacijske poslove pri odlučivanju o kaznenom progonu te izboru vrste i mjere kaznenopravnih sankcija, izvršavanje kaznenopravnih sankcija izrečenih punoljetnim počiniteljima kaznenih djela, a koje se izvršavaju na slobodi; poslove razvoja i koordinacije sustava podrške žrtvama i svjedocima te informatizaciju pravosuđa. Ministarstvo provodi nadzor nad obavljanjem poslova uprave u tijelima sudbene vlasti, državnom odvjetništvu te u kaznenim tijelima. Ministarstvo obavlja upravne i druge poslove koji se odnose na: pravo vlasništva; imovinskopravne poslove u vezi s izvlaštenjem i drugim ograničenjima vlasništva; imovinskopravne poslove vezane za građevinsko, poljoprivredno i šumsko zemljište, komasaciju, promet zemljišta i zgrada te dio agrarnih operacija koji nisu u djelokrugu drugog tijela državne uprave; imovinu stranih državljana, poslove naknade za imovinu oduzetu za vrijeme jugoslavenske komunističke vladavine koji nisu u djelokrugu drugog tijela državne uprave te poslove koji se odnose na sukcesiju imovine, prava i obveza bivše SFRJ. Ministarstvo obavlja upravne i stručne poslove u vezi sa suradnjom Vlade RH s međunarodnim kaznenim sudovima, poslove zastupanja Republike Hrvatske pred Međunarodnim sudom i drugim međunarodnim sudovima, ako posebnom odlukom Vlade nije odlučeno drukčije, poslove u vezi sa zaštitom ljudskih prava i prava nacionalnih manjina koji nisu u djelokrugu drugog tijela državne uprave te uspostavlja, promiče i obavlja suradnju nositelja provedbe mjera sprečavanja korupcije. Ministarstvo obavlja upravne i stručne poslove koji se odnose na: politički sustav, sustav i ustrojstvo državne uprave, ustrojstvo i djelokrug lokalne i područne (regionalne) samouprave; statusna pitanja državnih dužnosnika; izborno pravo i izborni sustav; registar birača, osobna stanja građana koja se odnose na državne matice, registar životnog partnerstva i promjene osobnog imena; opće zakonsko uređenje ustanova; političke stranke, vjerske zajednice, udruge, zaklade, službene evidencije utvrđene posebnim zakonima; opći upravni postupak, uredsko poslovanje, natpisne ploče javnopravnih tijela i druge poslove opće uprave, upravnu inspekciju, planiranje i nadzor zapošljavanja u državnoj upravi; stručno osposobljavanje i usavršavanje te radnopravni položaj zaposlenih u državnoj upravi i lokalnoj i područnoj (regionalnoj) samoupravi; primjenu etičkih načela; praćenje načina korištenja sredstava rada te primjenu suvremenih metoda rada u državnoj upravi; poticanje znanstvenog i stručnog razvitka te ostvarivanje međunarodne suradnje u pitanjima upravnog prava i prava na lokalnu samoupravu. Ministarstvo upravlja procesom digitalizacije u svim tijelima državne i javne uprave; usuglašava politike i ciljeve procesa digitalizacije s nadležnim tijelima, obavlja nadzor provedbe strateški važnih ciljeva procesa digitalizacije. Ministarstvo obavlja upravne, stručne i druge poslove koji se odnose na integrirano planiranje, odobravanje provedbe i praćenje provedbe projekata digitalizacije, međusobnu povezanost i koordinaciju projekata iz područja informacijsko-komunikacijske tehnologije u tijelima državne i javne uprave, na razvoj sigurnog, konkurentnog i održivog digitalnog gospodarstva, usluga povjerenja, kao i mjere vezane za korištenje infrastrukture digitalnih usluga i digitalnih inovacija s većom dodanom vrijednošću za ubrzavanje digitalne transformacije gospodarstva. Ministarstvo donosi smjernice za digitalnu transformaciju gospodarstva; predlaže unapređenja poslovnih procesa u kontekstu razvoja digitalne ekonomije; analizira normativni okvir te predlaže normativne promjene u kontekstu digitalne transformacije; koordinira poslove razvoja i unapređenja informacijskih sustava za podršku digitalnoj transformaciji gospodarstva; obavlja poslove vezane uz sudjelovanje na konferencijama, stručnim skupovima, edukacijama i predavanjima te obavlja i druge poslove iz svoga djelokruga. Ministarstvo obavlja upravne i stručne poslove koji se odnose na standardizaciju, uspostavu, korištenje i održavanje državne informacijske infrastrukture i servisa u tijelima državne i javne uprave; povezivanje informacijskih sustava tijela državne i javne uprave kroz jedinstvenu informacijsko-komunikacijsku mrežu, upravlja, standardizira i osuvremenjuje mreže državne informacijske infrastrukture te koordinira povezivanje s drugim mrežama u državnoj i javnoj upravi, unapređuje i upravlja informacijsko-komunikacijskim sustavima temeljenim na načelima interoperabilnosti, razmjene i zajedničkog korištenja podataka iz temeljnih i javnih registara te osigurava preduvjete za njihovu interoperabilnost, obavlja administrativne i tehničke poslove upravljanja, razvitka i sigurnosti Centra dijeljenih usluga, upravlja i razvija sustav e-Građani kao središnji sustav informacija i javnih elektroničkih usluga u Republici Hrvatskoj, uspostavlja i razvija zajednička (horizontalna) aplikativna rješenja u državnoj i javnoj upravi, obavlja poslove vezane za ponovnu uporabu dokumenata i informacija, sudjeluje u europskim i međunarodnim tijelima i koordinacijama u području informacijske tehnologije. Ministarstvo definira smjernice i metodologiju za praćenje napretka i procjenu učinka politika za razvoj digitalnog društva, Strategiju digitalnog razvoja Republike Hrvatske; koordinira rad Nacionalnog vijeća za digitalnu transformaciju. Ministarstvo provodi aktivnosti vezane uz inovativne tehnologije, uključujući umjetnu inteligenciju, analizira EU zakonodavstvo i identificira područja u kojima je potrebno uskladiti nacionalne propise; priprema nacrte prijedloga zakona i podzakonskih akata; izrađuje akte strateškog planiranja (strategija/nacionalni plan) vezane uz djelokrug Ministarstva. Ministarstvo obavlja poslove koji se odnose na sudjelovanje Republike Hrvatske u radu tijela Europske unije u područjima iz njegove nadležnosti. Ministarstvo sudjeluje s ministarstvom nadležnim za upravljanje državnom imovinom u poslovima upravljanja i raspolaganja dionicama i poslovnim udjelima trgovačkih društava koji čine državnu imovinu u vlasništvu Republike Hrvatske te u pogledu trgovačkih društava koja se pretežno bave djelatnostima iz područja propisane nadležnosti ovoga Ministarstva. Ministarstvo obavlja i druge poslove koji su mu stavljeni u nadležnost posebnim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10905-Ministarstvo pravosuđa, uprave i digitalne transformacije</w:t>
            </w:r>
          </w:p>
        </w:tc>
        <w:tc>
          <w:tcPr>
            <w:tcW w:w="1632.96" w:type="dxa"/>
            <w:vAlign w:val="center"/>
          </w:tcPr>
          <w:p>
            <w:pPr>
              <w:jc w:val="both"/>
              <w:pStyle w:val="CellColumn"/>
            </w:pPr>
            <w:r>
              <w:rPr>
                <w:rFonts w:hAnsi="Times New Roman" w:cs="Times New Roman"/>
              </w:rPr>
              <w:t xml:space="preserve">162.557.417</w:t>
            </w:r>
          </w:p>
        </w:tc>
        <w:tc>
          <w:tcPr>
            <w:tcW w:w="1632.96" w:type="dxa"/>
            <w:vAlign w:val="center"/>
          </w:tcPr>
          <w:p>
            <w:pPr>
              <w:jc w:val="both"/>
              <w:pStyle w:val="CellColumn"/>
            </w:pPr>
            <w:r>
              <w:rPr>
                <w:rFonts w:hAnsi="Times New Roman" w:cs="Times New Roman"/>
              </w:rPr>
              <w:t xml:space="preserve">204.480.943</w:t>
            </w:r>
          </w:p>
        </w:tc>
        <w:tc>
          <w:tcPr>
            <w:tcW w:w="1632.96" w:type="dxa"/>
            <w:vAlign w:val="center"/>
          </w:tcPr>
          <w:p>
            <w:pPr>
              <w:jc w:val="both"/>
              <w:pStyle w:val="CellColumn"/>
            </w:pPr>
            <w:r>
              <w:rPr>
                <w:rFonts w:hAnsi="Times New Roman" w:cs="Times New Roman"/>
              </w:rPr>
              <w:t xml:space="preserve">337.126.897</w:t>
            </w:r>
          </w:p>
        </w:tc>
        <w:tc>
          <w:tcPr>
            <w:tcW w:w="1632.96" w:type="dxa"/>
            <w:vAlign w:val="center"/>
          </w:tcPr>
          <w:p>
            <w:pPr>
              <w:jc w:val="both"/>
              <w:pStyle w:val="CellColumn"/>
            </w:pPr>
            <w:r>
              <w:rPr>
                <w:rFonts w:hAnsi="Times New Roman" w:cs="Times New Roman"/>
              </w:rPr>
              <w:t xml:space="preserve">352.096.302</w:t>
            </w:r>
          </w:p>
        </w:tc>
        <w:tc>
          <w:tcPr>
            <w:tcW w:w="1632.96" w:type="dxa"/>
            <w:vAlign w:val="center"/>
          </w:tcPr>
          <w:p>
            <w:pPr>
              <w:jc w:val="both"/>
              <w:pStyle w:val="CellColumn"/>
            </w:pPr>
            <w:r>
              <w:rPr>
                <w:rFonts w:hAnsi="Times New Roman" w:cs="Times New Roman"/>
              </w:rPr>
              <w:t xml:space="preserve">301.887.114</w:t>
            </w:r>
          </w:p>
        </w:tc>
        <w:tc>
          <w:tcPr>
            <w:tcW w:w="510.3" w:type="dxa"/>
            <w:vAlign w:val="center"/>
          </w:tcPr>
          <w:p>
            <w:pPr>
              <w:jc w:val="both"/>
              <w:pStyle w:val="CellColumn"/>
            </w:pPr>
            <w:r>
              <w:rPr>
                <w:rFonts w:hAnsi="Times New Roman" w:cs="Times New Roman"/>
              </w:rPr>
              <w:t xml:space="preserve">164,9</w:t>
            </w:r>
          </w:p>
        </w:tc>
      </w:tr>
    </w:tbl>
    <w:p>
      <w:pPr>
        <w:jc w:val="left"/>
      </w:pPr>
      <w:r>
        <w:rPr>
          <w:rFonts w:hAnsi="Times New Roman" w:cs="Times New Roman"/>
        </w:rPr>
        <w:t xml:space="preserve"/>
      </w:r>
    </w:p>
    <w:p>
      <w:pPr>
        <w:jc w:val="left"/>
        <w:pStyle w:val="Heading3"/>
      </w:pPr>
      <w:r>
        <w:rPr>
          <w:rFonts w:hAnsi="Times New Roman" w:cs="Times New Roman"/>
        </w:rPr>
        <w:t xml:space="preserve">2401 USTROJSTVO I DIGITALIZACIJA JAVNE UPRAVE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2401-USTROJSTVO I DIGITALIZACIJA JAVNE UPRAVE</w:t>
            </w:r>
          </w:p>
        </w:tc>
        <w:tc>
          <w:tcPr>
            <w:tcW w:w="1632.96" w:type="dxa"/>
            <w:vAlign w:val="center"/>
          </w:tcPr>
          <w:p>
            <w:pPr>
              <w:jc w:val="both"/>
              <w:pStyle w:val="CellColumn"/>
            </w:pPr>
            <w:r>
              <w:rPr>
                <w:rFonts w:hAnsi="Times New Roman" w:cs="Times New Roman"/>
              </w:rPr>
              <w:t xml:space="preserve">63.895.904</w:t>
            </w:r>
          </w:p>
        </w:tc>
        <w:tc>
          <w:tcPr>
            <w:tcW w:w="1632.96" w:type="dxa"/>
            <w:vAlign w:val="center"/>
          </w:tcPr>
          <w:p>
            <w:pPr>
              <w:jc w:val="both"/>
              <w:pStyle w:val="CellColumn"/>
            </w:pPr>
            <w:r>
              <w:rPr>
                <w:rFonts w:hAnsi="Times New Roman" w:cs="Times New Roman"/>
              </w:rPr>
              <w:t xml:space="preserve">80.794.646</w:t>
            </w:r>
          </w:p>
        </w:tc>
        <w:tc>
          <w:tcPr>
            <w:tcW w:w="1632.96" w:type="dxa"/>
            <w:vAlign w:val="center"/>
          </w:tcPr>
          <w:p>
            <w:pPr>
              <w:jc w:val="both"/>
              <w:pStyle w:val="CellColumn"/>
            </w:pPr>
            <w:r>
              <w:rPr>
                <w:rFonts w:hAnsi="Times New Roman" w:cs="Times New Roman"/>
              </w:rPr>
              <w:t xml:space="preserve">162.263.871</w:t>
            </w:r>
          </w:p>
        </w:tc>
        <w:tc>
          <w:tcPr>
            <w:tcW w:w="1632.96" w:type="dxa"/>
            <w:vAlign w:val="center"/>
          </w:tcPr>
          <w:p>
            <w:pPr>
              <w:jc w:val="both"/>
              <w:pStyle w:val="CellColumn"/>
            </w:pPr>
            <w:r>
              <w:rPr>
                <w:rFonts w:hAnsi="Times New Roman" w:cs="Times New Roman"/>
              </w:rPr>
              <w:t xml:space="preserve">167.644.434</w:t>
            </w:r>
          </w:p>
        </w:tc>
        <w:tc>
          <w:tcPr>
            <w:tcW w:w="1632.96" w:type="dxa"/>
            <w:vAlign w:val="center"/>
          </w:tcPr>
          <w:p>
            <w:pPr>
              <w:jc w:val="both"/>
              <w:pStyle w:val="CellColumn"/>
            </w:pPr>
            <w:r>
              <w:rPr>
                <w:rFonts w:hAnsi="Times New Roman" w:cs="Times New Roman"/>
              </w:rPr>
              <w:t xml:space="preserve">84.054.835</w:t>
            </w:r>
          </w:p>
        </w:tc>
        <w:tc>
          <w:tcPr>
            <w:tcW w:w="510.3" w:type="dxa"/>
            <w:vAlign w:val="center"/>
          </w:tcPr>
          <w:p>
            <w:pPr>
              <w:jc w:val="both"/>
              <w:pStyle w:val="CellColumn"/>
            </w:pPr>
            <w:r>
              <w:rPr>
                <w:rFonts w:hAnsi="Times New Roman" w:cs="Times New Roman"/>
              </w:rPr>
              <w:t xml:space="preserve">200,8</w:t>
            </w:r>
          </w:p>
        </w:tc>
      </w:tr>
    </w:tbl>
    <w:p>
      <w:pPr>
        <w:jc w:val="left"/>
      </w:pPr>
      <w:r>
        <w:rPr>
          <w:rFonts w:hAnsi="Times New Roman" w:cs="Times New Roman"/>
        </w:rPr>
        <w:t xml:space="preserve"/>
      </w:r>
    </w:p>
    <w:p>
      <w:pPr>
        <w:jc w:val="left"/>
        <w:pStyle w:val="Heading7"/>
      </w:pPr>
      <w:r>
        <w:rPr>
          <w:rFonts w:hAnsi="Times New Roman" w:cs="Times New Roman"/>
        </w:rPr>
        <w:t xml:space="preserve">Cilj 1. Unaprijediti kvalitetu i učinkovitost javne uprave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Nove e-usluge i unapređenje postojećih</w:t>
            </w:r>
          </w:p>
        </w:tc>
        <w:tc>
          <w:tcPr>
            <w:tcW w:w="2245.32" w:type="dxa"/>
            <w:vAlign w:val="center"/>
          </w:tcPr>
          <w:p>
            <w:pPr>
              <w:jc w:val="both"/>
              <w:pStyle w:val="CellColumn"/>
            </w:pPr>
            <w:r>
              <w:rPr>
                <w:rFonts w:hAnsi="Times New Roman" w:cs="Times New Roman"/>
              </w:rPr>
              <w:t xml:space="preserve">Povećanje učinkovitosti rada tijela državne uprave koju će omogućiti digitalizacija poslovnih procesa i usluga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6</w:t>
            </w:r>
          </w:p>
        </w:tc>
      </w:tr>
    </w:tbl>
    <w:p>
      <w:pPr>
        <w:jc w:val="left"/>
      </w:pPr>
      <w:r>
        <w:rPr>
          <w:rFonts w:hAnsi="Times New Roman" w:cs="Times New Roman"/>
        </w:rPr>
        <w:t xml:space="preserve"/>
      </w:r>
    </w:p>
    <w:p>
      <w:pPr>
        <w:jc w:val="left"/>
        <w:pStyle w:val="Heading4"/>
      </w:pPr>
      <w:r>
        <w:rPr>
          <w:rFonts w:hAnsi="Times New Roman" w:cs="Times New Roman"/>
        </w:rPr>
        <w:t xml:space="preserve">A677016 ELEKTRONIČKO PRAVOSUĐE I UPRAVA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državnom odvjetništvu; Zakon o sudskom registru; Zakon o besplatnoj pravnoj pomoći; Zakon o zemljišnim knjigama; Kazneni zakon; Ustavni zakon o pravima nacionalnih manjina; Zakon o upravnoj inspekciji; Pravilnik o sadržaju, obliku i načinu vođenja elektroničkog očevidnika upravne inspekcije; Zakon o državnim maticama; Zakon o životnom partnerstvu osoba istog spola; Pravilnik o sadržaju i načinu vođenja evidencije o državljanstvu, obrascu i cijeni obrasca domovnice; Zakon o registru birača; Zakon o općem upravnom postupku; Uredba o uredskom poslovanju; Naputak o brojčanim oznakama pismena te sadržaju evidencija uredskog poslovanja; Zakon o udrugama; Zakon o zakladama; Zakon o političkim strankama; Zakon o pravnom položaju vjerskih zajednica; Protokol o načinu upisa pravnih osoba Katoličke Crkve; Zakon o registru vijeća, koordinacija vijeća i predstavnika nacionalnih manjina; Zakon o lokalnoj i područnoj (regionalnoj) samoupravi i Pravilnik o podacima jedinica lokalne i područne (regionalne) samouprave; Zakon o pravu na pristup informacijama.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A677016-ELEKTRONIČKO PRAVOSUĐE I UPRAVA</w:t>
            </w:r>
          </w:p>
        </w:tc>
        <w:tc>
          <w:tcPr>
            <w:tcW w:w="1632.96" w:type="dxa"/>
            <w:vAlign w:val="center"/>
          </w:tcPr>
          <w:p>
            <w:pPr>
              <w:jc w:val="both"/>
              <w:pStyle w:val="CellColumn"/>
            </w:pPr>
            <w:r>
              <w:rPr>
                <w:rFonts w:hAnsi="Times New Roman" w:cs="Times New Roman"/>
              </w:rPr>
              <w:t xml:space="preserve">5.186.972</w:t>
            </w:r>
          </w:p>
        </w:tc>
        <w:tc>
          <w:tcPr>
            <w:tcW w:w="1632.96" w:type="dxa"/>
            <w:vAlign w:val="center"/>
          </w:tcPr>
          <w:p>
            <w:pPr>
              <w:jc w:val="both"/>
              <w:pStyle w:val="CellColumn"/>
            </w:pPr>
            <w:r>
              <w:rPr>
                <w:rFonts w:hAnsi="Times New Roman" w:cs="Times New Roman"/>
              </w:rPr>
              <w:t xml:space="preserve">6.399.098</w:t>
            </w:r>
          </w:p>
        </w:tc>
        <w:tc>
          <w:tcPr>
            <w:tcW w:w="1632.96" w:type="dxa"/>
            <w:vAlign w:val="center"/>
          </w:tcPr>
          <w:p>
            <w:pPr>
              <w:jc w:val="both"/>
              <w:pStyle w:val="CellColumn"/>
            </w:pPr>
            <w:r>
              <w:rPr>
                <w:rFonts w:hAnsi="Times New Roman" w:cs="Times New Roman"/>
              </w:rPr>
              <w:t xml:space="preserve">18.200.870</w:t>
            </w:r>
          </w:p>
        </w:tc>
        <w:tc>
          <w:tcPr>
            <w:tcW w:w="1632.96" w:type="dxa"/>
            <w:vAlign w:val="center"/>
          </w:tcPr>
          <w:p>
            <w:pPr>
              <w:jc w:val="both"/>
              <w:pStyle w:val="CellColumn"/>
            </w:pPr>
            <w:r>
              <w:rPr>
                <w:rFonts w:hAnsi="Times New Roman" w:cs="Times New Roman"/>
              </w:rPr>
              <w:t xml:space="preserve">20.409.370</w:t>
            </w:r>
          </w:p>
        </w:tc>
        <w:tc>
          <w:tcPr>
            <w:tcW w:w="1632.96" w:type="dxa"/>
            <w:vAlign w:val="center"/>
          </w:tcPr>
          <w:p>
            <w:pPr>
              <w:jc w:val="both"/>
              <w:pStyle w:val="CellColumn"/>
            </w:pPr>
            <w:r>
              <w:rPr>
                <w:rFonts w:hAnsi="Times New Roman" w:cs="Times New Roman"/>
              </w:rPr>
              <w:t xml:space="preserve">17.830.720</w:t>
            </w:r>
          </w:p>
        </w:tc>
        <w:tc>
          <w:tcPr>
            <w:tcW w:w="510.3" w:type="dxa"/>
            <w:vAlign w:val="center"/>
          </w:tcPr>
          <w:p>
            <w:pPr>
              <w:jc w:val="both"/>
              <w:pStyle w:val="CellColumn"/>
            </w:pPr>
            <w:r>
              <w:rPr>
                <w:rFonts w:hAnsi="Times New Roman" w:cs="Times New Roman"/>
              </w:rPr>
              <w:t xml:space="preserve">284,4</w:t>
            </w:r>
          </w:p>
        </w:tc>
      </w:tr>
    </w:tbl>
    <w:p>
      <w:pPr>
        <w:jc w:val="left"/>
      </w:pPr>
      <w:r>
        <w:rPr>
          <w:rFonts w:hAnsi="Times New Roman" w:cs="Times New Roman"/>
        </w:rPr>
        <w:t xml:space="preserve"/>
      </w:r>
    </w:p>
    <w:p>
      <w:pPr>
        <w:jc w:val="both"/>
        <w:pStyle w:val="Normal"/>
      </w:pPr>
      <w:r>
        <w:rPr>
          <w:rFonts w:hAnsi="Times New Roman" w:cs="Times New Roman"/>
        </w:rPr>
        <w:t xml:space="preserve">Sredstva koja se osiguravaju u okviru ove aktivnosti namijenjena su, među ostalim, održavanju i nadogradnji informacijskih sustava te razvoju novih funkcionalnosti i novih e-usluga, a sve s ciljem unapređenja rada i postupanja u području osobnih stanja građana (državne matice, registar životnog partnerstva i evidencija o državljanstvu), pripremi i provedbi izbora (registar birača), upravnom postupanju te uredskom poslovanju (ZUP IT sustav i Popis brojčanih oznaka javnopravnih tijela), kako za službene osobe koje unose podatke ili izdaju isprave tako i za građane koji neka svoja prava ostvaruju temeljem podataka koji se vode u spomenutim bazama podataka ili putem e-usluga. Planirana su sredstva za podmirenje obveza po: 1. Ugovoru o pružanju usluga nadogradnje, održavanja i korištenja informacijskih sustava za registar birača, knjigu državljana, državne matice i uredsko poslovanje za potrebe državnih matica. Sredstva se, osim za redovno održavanje i korištenje informacijskih sustava, planiraju koristiti za unapređenje i modernizaciju te povećanje razine sigurnosti informacijskih sustava državnih matica i registra birača. Planirana su sredstva i za pripremu registra birača za lokalne izbore te mogući drugi krug predsjedničkih izbora, 2. Ugovoru za usluge održavanja i nadogradnje informacijskog sustava za nadzor provedbe Zakona o općem upravnom postupku, 3. Ugovoru o usluzi održavanja i nadogradnje informacijskog sustava za vođenje popisa brojčanih oznaka javnopravnih tijela. Za 2026. i 2027. su planirani isti iznosi po navedenim ugovorima. U okviru ove aktivnosti se planiraju sredstva (konto 3238) i za usluge održavanja i nadogradnje informacijskog sustava za podršku rada Registara (registra udruga, registra stranih udruga, registra zaklada, registra stranih zaklada, registra političkih stranaka, evidencije vjerskih zajednica, evidencije pravnih osoba Katoličke Crkve i registra vijeća, koordinacija vijeća i predstavnika nacionalnih manjina). Planirana sredstva za provedbu ovog ugovora su povećana (50.000 € za 2025. i 2026. te dodatnih 30.000 € za 2027.) u odnosu na važeći Okvirni sporazum  o nabavi održavanja i nadogradnje informacijskog sustava za podršku rada Registara i Ugovor o nabavi osnovnog održavanja informacijskog sustava za podršku rada Registara, jer je proširen opseg usluga održavanja zbog unaprjeđenja i nadogradnji sustava, koje povećavaju njegovu kompleksnost, a zbog efekta inflacije se može očekivati i povećanje cijene usluge održavanja, odnosno cijene rada za buduće nadogradnje. Na ovoj aktivnosti su planirana sredstva (konto 3238) i za usluge održavanja i nadogradnje Jedinstvenog IT sustava za prikupljanje i pohranu podataka te izračun indikatora za procjenu kapaciteta jedinica lokalne i područne (regionalne) samouprave. U kolovozu 2024. je sklopljen Okvirni sporazum o nabavi usluge održavanja i nadogradnje Jedinstvenog IT sustava na razdoblje od 2 godine, temeljem kojeg će se sklopiti dva godišnja Ugovora o održavanju IT sustava. Za vrijeme trajanja okvirnog sporazuma bit će proširen opseg usluga održavanja, zbog unaprjeđenja i nadogradnji sustava koje će se provesti u okviru NPOO investicije C2.2. R4-I1 Daljnja optimizacija i decentralizacija JLP(R)S putem potpore funkcionalnom spajanju, a koja završava u II. kvartalu 2025. godine. S obzirom na to da će nadogradnja povećati složenost IT sustava, a zbog efekta inflacije može se očekivati i povećanje cijene usluge održavanja, odnosno cijene rada za buduće održavanje i nadogradnje, za 2026. i 2027. su planirana nešto veća sredstva u odnosu na Tekući plan 2024. i planirana sredstva za 2025. Temeljem Ugovora o nabavi usluga održavanja i nadogradnje programskog rješenja e-Sustava za praćenje provedbe Ustavnog zakona o pravima nacionalnih manjina, broj 153/24 koji je zaključen 29. siječnja 2024. godine na razdoblje od 12 mjeseci u ukupnom iznosu od 21.870 € s PDV-om, ugovara se usluga za praćenje provedbe Ustavnog zakona o pravima nacionalnih manjina. Ugovor se zaključuje svake godine, a novi će se zaključiti u siječnju 2025., nakon provedenog postupka javne nabave (konto 3238). Tijekom 2025. godine potrebno je provesti postupak nabave i sklopiti nove Okvirne sporazume za većinu IT sustava Ministarstva. Za vrijeme trajanja postojećih okvirnih sporazuma napravljene su nadogradnje sustava, koje povećavaju njihovu kompleksnost. Osim toga, zbog efekta inflacije može se očekivati povećanje cijene usluga mjesečnog održavanja sustava, kao i cijene rada za buduće nadogradnje. 
</w:t>
      </w:r>
    </w:p>
    <w:p>
      <w:pPr>
        <w:jc w:val="both"/>
        <w:pStyle w:val="Normal"/>
      </w:pPr>
      <w:r>
        <w:rPr>
          <w:rFonts w:hAnsi="Times New Roman" w:cs="Times New Roman"/>
        </w:rPr>
        <w:t xml:space="preserve">Do kraja 2024. i početkom 2025. godine se očekuje završetak razvoja novih sustava, većinom realiziranih putem NPOO projekata (eEtika, Anon, IT sustav za sprječavanje korupcije, CRISP, …), za koje je potrebno osigurati osnovno održavanje te potrebne adaptivne sate. Od planiranog iznosa za 2025. najveći dio od 8.000.000 € s PDV-om (konto 4262) se odnosi na nabavu sustava za tonsko snimanje i transkripciju sudskih rasprava, za koji su sredstva otpuštena prilikom izrade Izmjena i dopuna Financijskog plana za 2024., jer je provedba odgođena za 2025. te su sredstva osigurana za 2025. i 2026. Za sustav tonskog snimanja je za 2026. planirano 9.500.000 €. Sredstva su planirana za uvođenje tonskog snimanja u sudnice, s ciljem ubrzanja sudskog postupka na način da se sud rastereti od unošenja izjava danih na ročištu na zapisnik te se omogući što točnije bilježenje onoga što je rečeno na ročištu, što doprinosi vjerodostojnosti dokaznog postupka. Zbog primjene odredbi Zakona o kaznenom postupku i Zakona o parničnom postupku potrebno je opremiti 1.045 sudnica općinskih, županijskih i trgovačkih  sudova i Visokog trgovačkog suda Republike Hrvatske za tonsko snimanje rasprava. Planirana sredstva na stavci računalne usluge (konto 3238) su povećana i zbog sklopljena tri nova sporazuma s Financijskom agencijom za koja je potrebno osigurati 2.325.000 € godišnje: - Sporazum o osiguranju elektroničkog servisa radi podnošenja elektroničkih prijava za upis osnivanja trgovačkih društava od 28. lipnja 2024., po kojem se plaća 3.125 € s PDV-om mjesečno, plus 18.75 € s PDV-om po prijavi koju javni bilježnik dostavlja u FINA-u na daljnje postupanje i isporuku sudskom registru, - Sporazum o pružanju usluga provedbe prodaje putem e-Dražbe, kojim se Ministarstvo obvezalo plaćati naknadu od 1.537.000 € s PDV-om godišnje. Naknada za 2024. godinu će se platiti početkom 2025., - Sporazum o pružanju usluga vođenja Upisnika osiguranja tražbina,  kojim se Ministarstvo obvezalo plaćati naknadu od 750.000 € s PDV-om godišnje. Naknada za 2024. godinu će se platiti početkom 2025. Planirana sredstva za 2025. iznose ukupno 18.200.870 €, što je povećanje od 13.001.772 € u odnosu na Tekući plan 2024.</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Nove funkcionalnosti u postojećim registrima</w:t>
            </w:r>
          </w:p>
        </w:tc>
        <w:tc>
          <w:tcPr>
            <w:tcW w:w="2245.32" w:type="dxa"/>
            <w:vAlign w:val="center"/>
          </w:tcPr>
          <w:p>
            <w:pPr>
              <w:jc w:val="both"/>
              <w:pStyle w:val="CellColumn"/>
            </w:pPr>
            <w:r>
              <w:rPr>
                <w:rFonts w:hAnsi="Times New Roman" w:cs="Times New Roman"/>
              </w:rPr>
              <w:t xml:space="preserve">Reorganizacija državnih matica na način da se svaki podatak upisuje samo jednom (»once 
</w:t>
            </w:r>
          </w:p>
          <w:p>
            <w:pPr>
              <w:jc w:val="both"/>
              <w:pStyle w:val="CellColumn"/>
            </w:pPr>
            <w:r>
              <w:rPr>
                <w:rFonts w:hAnsi="Times New Roman" w:cs="Times New Roman"/>
              </w:rPr>
              <w:t xml:space="preserve">only«) te povećanje razine sigurnosti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Nove e-usluge i unaprjeđenje postojećih</w:t>
            </w:r>
          </w:p>
        </w:tc>
        <w:tc>
          <w:tcPr>
            <w:tcW w:w="2245.32" w:type="dxa"/>
            <w:vAlign w:val="center"/>
          </w:tcPr>
          <w:p>
            <w:pPr>
              <w:jc w:val="both"/>
              <w:pStyle w:val="CellColumn"/>
            </w:pPr>
            <w:r>
              <w:rPr>
                <w:rFonts w:hAnsi="Times New Roman" w:cs="Times New Roman"/>
              </w:rPr>
              <w:t xml:space="preserve">Digitalizacija poslovnih procesa i usluga dovest će do povećanja učinkovitosti rada tijela državne uprave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6</w:t>
            </w:r>
          </w:p>
        </w:tc>
      </w:tr>
      <w:tr>
        <w:trPr>
          <w:cantSplit/>
        </w:trPr>
        <w:tc>
          <w:tcPr>
            <w:tcW w:w="2245.32" w:type="dxa"/>
            <w:vAlign w:val="center"/>
          </w:tcPr>
          <w:p>
            <w:pPr>
              <w:jc w:val="both"/>
              <w:pStyle w:val="CellColumn"/>
            </w:pPr>
            <w:r>
              <w:rPr>
                <w:rFonts w:hAnsi="Times New Roman" w:cs="Times New Roman"/>
              </w:rPr>
              <w:t xml:space="preserve">Boj dorađenih i nadograđenih aplikativnih sustava</w:t>
            </w:r>
          </w:p>
        </w:tc>
        <w:tc>
          <w:tcPr>
            <w:tcW w:w="2245.32" w:type="dxa"/>
            <w:vAlign w:val="center"/>
          </w:tcPr>
          <w:p>
            <w:pPr>
              <w:jc w:val="both"/>
              <w:pStyle w:val="CellColumn"/>
            </w:pPr>
            <w:r>
              <w:rPr>
                <w:rFonts w:hAnsi="Times New Roman" w:cs="Times New Roman"/>
              </w:rPr>
              <w:t xml:space="preserve">Nadogradnja aplikativnih sustava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12</w:t>
            </w:r>
          </w:p>
        </w:tc>
      </w:tr>
    </w:tbl>
    <w:p>
      <w:pPr>
        <w:jc w:val="left"/>
      </w:pPr>
      <w:r>
        <w:rPr>
          <w:rFonts w:hAnsi="Times New Roman" w:cs="Times New Roman"/>
        </w:rPr>
        <w:t xml:space="preserve"/>
      </w:r>
    </w:p>
    <w:p>
      <w:pPr>
        <w:jc w:val="left"/>
        <w:pStyle w:val="Heading4"/>
      </w:pPr>
      <w:r>
        <w:rPr>
          <w:rFonts w:hAnsi="Times New Roman" w:cs="Times New Roman"/>
        </w:rPr>
        <w:t xml:space="preserve">A757020 USPOSTAVA I ODRŽAVANJE USLUGE CENTRALNOG OBRAČUNA PLAĆA I UPRAVLJANJA LJUDSKIM RESURSIMA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registru zaposlenih i centraliziranom obračunu plaća u državnoj službi i javnim službama, Uredba o sadržaju, načinu prikupljanja i obrade te mjerama zaštite podataka u Registru zaposlenih u javnom sektoru, Ugovor o pružanju usluga održavanja i poslovno-operativne podrške Registru zaposlenih i centraliziranom obračunu plaća u državnoj službi i javnim službama od 22. siječnja 2024.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A757020-USPOSTAVA I ODRŽAVANJE USLUGE CENTRALNOG OBRAČUNA PLAĆA I UPRAVLJANJA LJUDSKIM RESURSIMA</w:t>
            </w:r>
          </w:p>
        </w:tc>
        <w:tc>
          <w:tcPr>
            <w:tcW w:w="1632.96" w:type="dxa"/>
            <w:vAlign w:val="center"/>
          </w:tcPr>
          <w:p>
            <w:pPr>
              <w:jc w:val="both"/>
              <w:pStyle w:val="CellColumn"/>
            </w:pPr>
            <w:r>
              <w:rPr>
                <w:rFonts w:hAnsi="Times New Roman" w:cs="Times New Roman"/>
              </w:rPr>
              <w:t xml:space="preserve">2.150.126</w:t>
            </w:r>
          </w:p>
        </w:tc>
        <w:tc>
          <w:tcPr>
            <w:tcW w:w="1632.96" w:type="dxa"/>
            <w:vAlign w:val="center"/>
          </w:tcPr>
          <w:p>
            <w:pPr>
              <w:jc w:val="both"/>
              <w:pStyle w:val="CellColumn"/>
            </w:pPr>
            <w:r>
              <w:rPr>
                <w:rFonts w:hAnsi="Times New Roman" w:cs="Times New Roman"/>
              </w:rPr>
              <w:t xml:space="preserve">3.300.000</w:t>
            </w:r>
          </w:p>
        </w:tc>
        <w:tc>
          <w:tcPr>
            <w:tcW w:w="1632.96" w:type="dxa"/>
            <w:vAlign w:val="center"/>
          </w:tcPr>
          <w:p>
            <w:pPr>
              <w:jc w:val="both"/>
              <w:pStyle w:val="CellColumn"/>
            </w:pPr>
            <w:r>
              <w:rPr>
                <w:rFonts w:hAnsi="Times New Roman" w:cs="Times New Roman"/>
              </w:rPr>
              <w:t xml:space="preserve">4.200.000</w:t>
            </w:r>
          </w:p>
        </w:tc>
        <w:tc>
          <w:tcPr>
            <w:tcW w:w="1632.96" w:type="dxa"/>
            <w:vAlign w:val="center"/>
          </w:tcPr>
          <w:p>
            <w:pPr>
              <w:jc w:val="both"/>
              <w:pStyle w:val="CellColumn"/>
            </w:pPr>
            <w:r>
              <w:rPr>
                <w:rFonts w:hAnsi="Times New Roman" w:cs="Times New Roman"/>
              </w:rPr>
              <w:t xml:space="preserve">4.500.000</w:t>
            </w:r>
          </w:p>
        </w:tc>
        <w:tc>
          <w:tcPr>
            <w:tcW w:w="1632.96" w:type="dxa"/>
            <w:vAlign w:val="center"/>
          </w:tcPr>
          <w:p>
            <w:pPr>
              <w:jc w:val="both"/>
              <w:pStyle w:val="CellColumn"/>
            </w:pPr>
            <w:r>
              <w:rPr>
                <w:rFonts w:hAnsi="Times New Roman" w:cs="Times New Roman"/>
              </w:rPr>
              <w:t xml:space="preserve">4.500.000</w:t>
            </w:r>
          </w:p>
        </w:tc>
        <w:tc>
          <w:tcPr>
            <w:tcW w:w="510.3" w:type="dxa"/>
            <w:vAlign w:val="center"/>
          </w:tcPr>
          <w:p>
            <w:pPr>
              <w:jc w:val="both"/>
              <w:pStyle w:val="CellColumn"/>
            </w:pPr>
            <w:r>
              <w:rPr>
                <w:rFonts w:hAnsi="Times New Roman" w:cs="Times New Roman"/>
              </w:rPr>
              <w:t xml:space="preserve">127,3</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planirana sredstva za održavanje sustava centraliziranog obračuna plaća (COP) koji se koristi za obračun i isplatu plaća i drugih materijalnih prava zaposlenih u javnom sektoru, sukladno Zakonu o registru zaposlenih i centraliziranom obračunu plaća u državnoj službi i javnim službama. Sredstva su planirana temeljem ugovornih obveza koje Ministarstvo ima prema Financijskoj agenciji kao izvršitelju usluge obrade podataka. Za održavanje sustava u 2025. je potrebno 4.200.000 € (konto 3238),  što je povećanje od 900.000 € (39,22 %) u odnosu na Tekući plan 2024. Po novom ugovoru sa FINA-om od 22. siječnja 2024. u 2024. godini je plaćena obveza za 10 mjeseci, dok će u 2025. godini biti potrebno platiti obvezu za svih 12 mjeseci. Drugi, značajniji, razlog povećanja planiranih sredstava odnosi se na provedeni projekt „HRM sustav“ koji je razvijen kroz reformsku mjeru „Novi modeli plaća i rada u državnoj službi i javnim službama“ u okviru Nacionalnog plana oporavka i otpornosti, za koji je potrebno osigurati sredstava za održavanje. Godišnja obveza po Ugovoru o pružanju usluga održavanja i poslovno-operativne podrške Registru zaposlenih i centraliziranom obračunu plaća u državnoj službi i javnim službama je 3.400.000 €, a preostali dio planiranih sredstava se odnosi na održavanje HRM sustava. Plan je da u 2025. godini dio državnih tijela, odnosno pola od ukupnog broja, bude spojen na HRM sustav, a preostala državna tijela bi trebala biti spojena tijekom 2026. Stoga je u 2026. i 2027. godini planirano povećanje za 300.000 € godišnje u odnosu na 2025. te planirana sredstva za 2026. i 2027. iznose po 4.500.000.</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dana kada sustav COP-a nije dostupan krajnjim korisnicima</w:t>
            </w:r>
          </w:p>
        </w:tc>
        <w:tc>
          <w:tcPr>
            <w:tcW w:w="2245.32" w:type="dxa"/>
            <w:vAlign w:val="center"/>
          </w:tcPr>
          <w:p>
            <w:pPr>
              <w:jc w:val="both"/>
              <w:pStyle w:val="CellColumn"/>
            </w:pPr>
            <w:r>
              <w:rPr>
                <w:rFonts w:hAnsi="Times New Roman" w:cs="Times New Roman"/>
              </w:rPr>
              <w:t xml:space="preserve">Sustav COP-a treba biti dostupan krajnjim korisnicima tijekom radnih dana u godini za potrebe obračuna plaća i drugih materijalnih prava zaposlenika. Dostupnost sustava krajnjim korisnicima pokazatelj je održavanja tog sustava te stoga treba biti dostupan korisnicima svim radnim danima u godini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FINA</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r>
        <w:trPr>
          <w:cantSplit/>
        </w:trPr>
        <w:tc>
          <w:tcPr>
            <w:tcW w:w="2245.32" w:type="dxa"/>
            <w:vAlign w:val="center"/>
          </w:tcPr>
          <w:p>
            <w:pPr>
              <w:jc w:val="both"/>
              <w:pStyle w:val="CellColumn"/>
            </w:pPr>
            <w:r>
              <w:rPr>
                <w:rFonts w:hAnsi="Times New Roman" w:cs="Times New Roman"/>
              </w:rPr>
              <w:t xml:space="preserve">Broj kibernetičkih incidenata sa znatnim  
</w:t>
            </w:r>
          </w:p>
          <w:p>
            <w:pPr>
              <w:jc w:val="both"/>
              <w:pStyle w:val="CellColumn"/>
            </w:pPr>
            <w:r>
              <w:rPr>
                <w:rFonts w:hAnsi="Times New Roman" w:cs="Times New Roman"/>
              </w:rPr>
              <w:t xml:space="preserve">učinkom</w:t>
            </w:r>
          </w:p>
        </w:tc>
        <w:tc>
          <w:tcPr>
            <w:tcW w:w="2245.32" w:type="dxa"/>
            <w:vAlign w:val="center"/>
          </w:tcPr>
          <w:p>
            <w:pPr>
              <w:jc w:val="both"/>
              <w:pStyle w:val="CellColumn"/>
            </w:pPr>
            <w:r>
              <w:rPr>
                <w:rFonts w:hAnsi="Times New Roman" w:cs="Times New Roman"/>
              </w:rPr>
              <w:t xml:space="preserve">Incidenti sa znatnim učinkom definirani su Zakonom o kibernetičkoj sigurnosti i mogu utjecati na dostupnost COP-a i sigurnost podataka. Sustav kontinuirano treba održavati sigurnim i zaštićenim od kibernetičkih incidenata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FINA</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A757026 POSLOVI DRŽAVE POVJERENI ŽUPANIJAMA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sustavu državne uprave, Sporazumi o preuzimanju državnih službenika, uključujući i predstojnike, namještenika, pismohrane i druge dokumentacije te opreme i sredstava za rad od mjesno nadležnih ureda državne uprave, koji su sklopljeni sa svim županijama, Zaključak Vlade Republike Hrvatske od 18. srpnja 2019. godine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A757026-POSLOVI DRŽAVE POVJERENI ŽUPANIJAMA</w:t>
            </w:r>
          </w:p>
        </w:tc>
        <w:tc>
          <w:tcPr>
            <w:tcW w:w="1632.96" w:type="dxa"/>
            <w:vAlign w:val="center"/>
          </w:tcPr>
          <w:p>
            <w:pPr>
              <w:jc w:val="both"/>
              <w:pStyle w:val="CellColumn"/>
            </w:pPr>
            <w:r>
              <w:rPr>
                <w:rFonts w:hAnsi="Times New Roman" w:cs="Times New Roman"/>
              </w:rPr>
              <w:t xml:space="preserve">41.011.348</w:t>
            </w:r>
          </w:p>
        </w:tc>
        <w:tc>
          <w:tcPr>
            <w:tcW w:w="1632.96" w:type="dxa"/>
            <w:vAlign w:val="center"/>
          </w:tcPr>
          <w:p>
            <w:pPr>
              <w:jc w:val="both"/>
              <w:pStyle w:val="CellColumn"/>
            </w:pPr>
            <w:r>
              <w:rPr>
                <w:rFonts w:hAnsi="Times New Roman" w:cs="Times New Roman"/>
              </w:rPr>
              <w:t xml:space="preserve">41.011.348</w:t>
            </w:r>
          </w:p>
        </w:tc>
        <w:tc>
          <w:tcPr>
            <w:tcW w:w="1632.96" w:type="dxa"/>
            <w:vAlign w:val="center"/>
          </w:tcPr>
          <w:p>
            <w:pPr>
              <w:jc w:val="both"/>
              <w:pStyle w:val="CellColumn"/>
            </w:pPr>
            <w:r>
              <w:rPr>
                <w:rFonts w:hAnsi="Times New Roman" w:cs="Times New Roman"/>
              </w:rPr>
              <w:t xml:space="preserve">41.011.348</w:t>
            </w:r>
          </w:p>
        </w:tc>
        <w:tc>
          <w:tcPr>
            <w:tcW w:w="1632.96" w:type="dxa"/>
            <w:vAlign w:val="center"/>
          </w:tcPr>
          <w:p>
            <w:pPr>
              <w:jc w:val="both"/>
              <w:pStyle w:val="CellColumn"/>
            </w:pPr>
            <w:r>
              <w:rPr>
                <w:rFonts w:hAnsi="Times New Roman" w:cs="Times New Roman"/>
              </w:rPr>
              <w:t xml:space="preserve">41.011.348</w:t>
            </w:r>
          </w:p>
        </w:tc>
        <w:tc>
          <w:tcPr>
            <w:tcW w:w="1632.96" w:type="dxa"/>
            <w:vAlign w:val="center"/>
          </w:tcPr>
          <w:p>
            <w:pPr>
              <w:jc w:val="both"/>
              <w:pStyle w:val="CellColumn"/>
            </w:pPr>
            <w:r>
              <w:rPr>
                <w:rFonts w:hAnsi="Times New Roman" w:cs="Times New Roman"/>
              </w:rPr>
              <w:t xml:space="preserve">41.011.348</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se osiguravaju sredstva za obavljanje poslova državne uprave koji su, sukladno odredbama Zakona o sustavu državne uprave koji je stupio na snagu 18. srpnja 2019. godine, od 1. siječnja 2020. povjereni jedinicama područne (regionalne) samouprave.  Pojedini poslovi državne uprave prvostupanjskog karaktera (osobito upravni i drugi stručni poslovi u upravnim područjima gospodarstva, društvenih djelatnosti, opće uprave i imovinsko-pravnih poslova te drugi upravni i stručni poslovi u skladu s posebnim zakonima kojima se uređuje pojedino upravno područje) iz nadležnosti ureda državne uprave povjereni su županijama, odnosno upravnim tijelima županija. Po navedenoj osnovi i razmjerno povjerenim poslovima, tijekom prosinca 2019. godine su potpisani Sporazumi o preuzimanju predmeta, pismohrane, ostale dokumentacije, opreme te sredstava za rad od mjesno nadležnih ureda državne uprave u županijama, kojima je županijama povjereno obavljanje poslova državne uprave te preuzimanje državnih službenika i namještenika. Potpisanim sporazumima su definirani poslovi odnosno upravno/neupravni postupci iz područja imovinsko-pravnih odnosa, društvenih djelatnosti, gospodarstva i poslovi opće uprave te sredstva za rad. Poslovi državne uprave su provedba državne politike, neposredna provedba zakona, inspekcijski nadzor, upravni nadzor te drugi upravni i stručni poslovi. U potpisanim sporazumima je, između ostalog, definiran i iznos koji će se svakoj županiji za povjerene poslove doznačiti godišnje iz Državnog proračuna. Za financiranje poslova državne uprave povjerenih županijama za 2025., 2026. i 2027. je planirano po 41.011.348 € godišnje.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obavljenih poslova</w:t>
            </w:r>
          </w:p>
        </w:tc>
        <w:tc>
          <w:tcPr>
            <w:tcW w:w="2245.32" w:type="dxa"/>
            <w:vAlign w:val="center"/>
          </w:tcPr>
          <w:p>
            <w:pPr>
              <w:jc w:val="both"/>
              <w:pStyle w:val="CellColumn"/>
            </w:pPr>
            <w:r>
              <w:rPr>
                <w:rFonts w:hAnsi="Times New Roman" w:cs="Times New Roman"/>
              </w:rPr>
              <w:t xml:space="preserve">Županije obavljaju preuzete poslove državne uprave.</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A830002 STRUČNO OSPOSOBLJAVANJE DRŽAVNIH SLUŽBENIKA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državnim službenicima (članak 101.), Pravilnik o polaganju državnog ispita, Zakon o sustavu državne uprave (članaka 48), Zakon o službenicima i namještenicima u lokalnoj, područnoj (regionalnoj) samoupravi (članaka 14., 88. i 92.) Odluka o imenovanju članova stručnih radnih skupina za razvoj ispitnih materijala za predmete ispitivanja.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A830002-STRUČNO OSPOSOBLJAVANJE DRŽAVNIH SLUŽBENIKA</w:t>
            </w:r>
          </w:p>
        </w:tc>
        <w:tc>
          <w:tcPr>
            <w:tcW w:w="1632.96" w:type="dxa"/>
            <w:vAlign w:val="center"/>
          </w:tcPr>
          <w:p>
            <w:pPr>
              <w:jc w:val="both"/>
              <w:pStyle w:val="CellColumn"/>
            </w:pPr>
            <w:r>
              <w:rPr>
                <w:rFonts w:hAnsi="Times New Roman" w:cs="Times New Roman"/>
              </w:rPr>
              <w:t xml:space="preserve">48.801</w:t>
            </w:r>
          </w:p>
        </w:tc>
        <w:tc>
          <w:tcPr>
            <w:tcW w:w="1632.96" w:type="dxa"/>
            <w:vAlign w:val="center"/>
          </w:tcPr>
          <w:p>
            <w:pPr>
              <w:jc w:val="both"/>
              <w:pStyle w:val="CellColumn"/>
            </w:pPr>
            <w:r>
              <w:rPr>
                <w:rFonts w:hAnsi="Times New Roman" w:cs="Times New Roman"/>
              </w:rPr>
              <w:t xml:space="preserve">196.600</w:t>
            </w:r>
          </w:p>
        </w:tc>
        <w:tc>
          <w:tcPr>
            <w:tcW w:w="1632.96" w:type="dxa"/>
            <w:vAlign w:val="center"/>
          </w:tcPr>
          <w:p>
            <w:pPr>
              <w:jc w:val="both"/>
              <w:pStyle w:val="CellColumn"/>
            </w:pPr>
            <w:r>
              <w:rPr>
                <w:rFonts w:hAnsi="Times New Roman" w:cs="Times New Roman"/>
              </w:rPr>
              <w:t xml:space="preserve">144.863</w:t>
            </w:r>
          </w:p>
        </w:tc>
        <w:tc>
          <w:tcPr>
            <w:tcW w:w="1632.96" w:type="dxa"/>
            <w:vAlign w:val="center"/>
          </w:tcPr>
          <w:p>
            <w:pPr>
              <w:jc w:val="both"/>
              <w:pStyle w:val="CellColumn"/>
            </w:pPr>
            <w:r>
              <w:rPr>
                <w:rFonts w:hAnsi="Times New Roman" w:cs="Times New Roman"/>
              </w:rPr>
              <w:t xml:space="preserve">144.863</w:t>
            </w:r>
          </w:p>
        </w:tc>
        <w:tc>
          <w:tcPr>
            <w:tcW w:w="1632.96" w:type="dxa"/>
            <w:vAlign w:val="center"/>
          </w:tcPr>
          <w:p>
            <w:pPr>
              <w:jc w:val="both"/>
              <w:pStyle w:val="CellColumn"/>
            </w:pPr>
            <w:r>
              <w:rPr>
                <w:rFonts w:hAnsi="Times New Roman" w:cs="Times New Roman"/>
              </w:rPr>
              <w:t xml:space="preserve">144.863</w:t>
            </w:r>
          </w:p>
        </w:tc>
        <w:tc>
          <w:tcPr>
            <w:tcW w:w="510.3" w:type="dxa"/>
            <w:vAlign w:val="center"/>
          </w:tcPr>
          <w:p>
            <w:pPr>
              <w:jc w:val="both"/>
              <w:pStyle w:val="CellColumn"/>
            </w:pPr>
            <w:r>
              <w:rPr>
                <w:rFonts w:hAnsi="Times New Roman" w:cs="Times New Roman"/>
              </w:rPr>
              <w:t xml:space="preserve">73,7</w:t>
            </w:r>
          </w:p>
        </w:tc>
      </w:tr>
    </w:tbl>
    <w:p>
      <w:pPr>
        <w:jc w:val="left"/>
      </w:pPr>
      <w:r>
        <w:rPr>
          <w:rFonts w:hAnsi="Times New Roman" w:cs="Times New Roman"/>
        </w:rPr>
        <w:t xml:space="preserve"/>
      </w:r>
    </w:p>
    <w:p>
      <w:pPr>
        <w:jc w:val="both"/>
        <w:pStyle w:val="Normal"/>
      </w:pPr>
      <w:r>
        <w:rPr>
          <w:rFonts w:hAnsi="Times New Roman" w:cs="Times New Roman"/>
        </w:rPr>
        <w:t xml:space="preserve">Ministarstvo je nadležno za provedbu državnog ispita za državne službenike, službenike upravnih tijela jedinica lokalne, područne (regionalne) samouprave i službenih osoba koje u pravnim osobama s javnim ovlastima obavljaju povjerene poslove državne uprave.U okviru ove aktivnosti osigurana su sredstva za održavanje aplikacija za organizaciju, provedbu i razvoj ispitnih materijala za polaganje državnog ispita (Aplikacija za državni ispit-ADI sustav) te za održavanje sustava za e-učenje – Pripreme za polaganje državnog ispita putem (EDI sustav). Ministarstvo je dužno osigurati i sredstva za naknade članovima stručnih radnih skupina za razvoj ispitnih materijala za državni ispit, stručnim recenzentima i lektorima ispitnih materijala koji rade na izradi i doradi ispitnih materijala, Ispitnog kataloga za državni ispit te na pripremi materijala, kao i za grafičku izmjenu Ispitnoga kataloga za državni ispit.Planirana su sredstva u iznosu 144.863 € godišnje, što je za 51.737 € manje u odnosu na Tekući plan 2024. Sredstva u iznosu 116.000 € su planirana na stavci računalne usluge (konto 3238) za troškove održavanja aplikacija za organizaciju, provedbu i razvoj ispitnih materijala za polaganje državnog ispita Aplikacija za državni ispit - ADI sustav i održavanje sustava za e-učenje - Pripreme za polaganje državnog ispita putem - EDI sustav. Za uslugu održavanja ADI sustava sklopljen je 6. kolovoza 2024. Ugovor o nabavi usluge održavanja ADI sustava, u iznosu 163.125 € s PDV-om, odnosno 83.125 € s PDV-om godišnje. Za uslugu održavanja EDI sustava sklopljen je 12. listopada 2023. Ugovor o nabavi usluge održavanja EDI sustava u iznosu  32.499,90 € s PDV-om. Za naknade za stručne radne skupine za razvoj ispitnih materijala za državni ispit planirano je 15.000 € godišnje (konto 3291). Na stavci Naknade za rad predstavničkih i izvršnih tijela, povjerenstava i slično (konto 3291) je planirano 13.863 € za naknade za rad članova Etičkog povjerenstva i Vijeća za provedbu Kodeksa ponašanja državnih dužnosnika u tijelima izvršne vlasti. Temeljem čl. 30. Etičkog kodeksa državnih službenika, članovi Etičkog povjerenstva imaju pravo na naknadu čiju visinu određuje Vlada. Odlukom Vlade od 17. prosinca 2014. određeno je da članovi imaju pravo na naknadu u iznosu od 300 kn neto po održanoj sjednici odnosno 39,82 €, što s doprinosima iznosi 62,50 € po članu za održanu sjednicu. Budući da Etičko povjerenstvo ima 6 članova, ukupni iznos za sve članove po održanoj sjednici je 375 € (62,50 € x 6 članova), a kako se predviđa održavanje do maksimalno 17 sjednica godišnje, u razdoblju 2025. - 2027. je planirano 6.375 € (17 sjednica x 375 €) godišnje. Temeljem čl. 24. Kodeksa ponašanja državnih dužnosnika u tijelima izvršne vlasti, vanjski članovi Vijeća za provedbu Kodeksa ponašanja državnih dužnosnika u tijelima izvršne vlasti (dalje u tekstu: Vijeće) imaju pravo na naknadu čiju visinu određuje Vlada. Odlukom Vlade od 28. srpnja 2022. određeno je da vanjski članovi Vijeća imaju pravo na mjesečnu naknadu u iznosu od 1.500 kuna neto (199,08 €), što s doprinosima iznosi 312 € mjesečno po članu. S obzirom na to da su imenovane 2 vanjske članice, u razdoblju 2025. - 2027. je planirano 7.488 € (312 € x 2 člana x 12 mjeseci = 7.488 €).</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službenika koji polažu državni ispit u Središnjem ispitnom centru Zagreb</w:t>
            </w:r>
          </w:p>
        </w:tc>
        <w:tc>
          <w:tcPr>
            <w:tcW w:w="2245.32" w:type="dxa"/>
            <w:vAlign w:val="center"/>
          </w:tcPr>
          <w:p>
            <w:pPr>
              <w:jc w:val="both"/>
              <w:pStyle w:val="CellColumn"/>
            </w:pPr>
            <w:r>
              <w:rPr>
                <w:rFonts w:hAnsi="Times New Roman" w:cs="Times New Roman"/>
              </w:rPr>
              <w:t xml:space="preserve">Službenici iz državnih tijela, upravnih tijela JLP(R)S te pravnih osoba s javnim ovlastima koji imaju obvezu polaganja državnog ispita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3400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2800</w:t>
            </w:r>
          </w:p>
        </w:tc>
        <w:tc>
          <w:tcPr>
            <w:tcW w:w="918.54" w:type="dxa"/>
            <w:vAlign w:val="center"/>
          </w:tcPr>
          <w:p>
            <w:pPr>
              <w:jc w:val="both"/>
              <w:pStyle w:val="CellColumn"/>
            </w:pPr>
            <w:r>
              <w:rPr>
                <w:rFonts w:hAnsi="Times New Roman" w:cs="Times New Roman"/>
              </w:rPr>
              <w:t xml:space="preserve">2800</w:t>
            </w:r>
          </w:p>
        </w:tc>
        <w:tc>
          <w:tcPr>
            <w:tcW w:w="918.54" w:type="dxa"/>
            <w:vAlign w:val="center"/>
          </w:tcPr>
          <w:p>
            <w:pPr>
              <w:jc w:val="both"/>
              <w:pStyle w:val="CellColumn"/>
            </w:pPr>
            <w:r>
              <w:rPr>
                <w:rFonts w:hAnsi="Times New Roman" w:cs="Times New Roman"/>
              </w:rPr>
              <w:t xml:space="preserve">2800</w:t>
            </w:r>
          </w:p>
        </w:tc>
      </w:tr>
      <w:tr>
        <w:trPr>
          <w:cantSplit/>
        </w:trPr>
        <w:tc>
          <w:tcPr>
            <w:tcW w:w="2245.32" w:type="dxa"/>
            <w:vAlign w:val="center"/>
          </w:tcPr>
          <w:p>
            <w:pPr>
              <w:jc w:val="both"/>
              <w:pStyle w:val="CellColumn"/>
            </w:pPr>
            <w:r>
              <w:rPr>
                <w:rFonts w:hAnsi="Times New Roman" w:cs="Times New Roman"/>
              </w:rPr>
              <w:t xml:space="preserve">Broj službenika koji polažu državni ispit u RIC Rijeka, Split i Osijek</w:t>
            </w:r>
          </w:p>
        </w:tc>
        <w:tc>
          <w:tcPr>
            <w:tcW w:w="2245.32" w:type="dxa"/>
            <w:vAlign w:val="center"/>
          </w:tcPr>
          <w:p>
            <w:pPr>
              <w:jc w:val="both"/>
              <w:pStyle w:val="CellColumn"/>
            </w:pPr>
            <w:r>
              <w:rPr>
                <w:rFonts w:hAnsi="Times New Roman" w:cs="Times New Roman"/>
              </w:rPr>
              <w:t xml:space="preserve">Službenici iz državnih tijela, upravnih tijela JLP(R)S te pravnih osoba s javnim ovlastima koji imaju obvezu polaganja državnog ispita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200</w:t>
            </w:r>
          </w:p>
        </w:tc>
        <w:tc>
          <w:tcPr>
            <w:tcW w:w="918.54" w:type="dxa"/>
            <w:vAlign w:val="center"/>
          </w:tcPr>
          <w:p>
            <w:pPr>
              <w:jc w:val="both"/>
              <w:pStyle w:val="CellColumn"/>
            </w:pPr>
            <w:r>
              <w:rPr>
                <w:rFonts w:hAnsi="Times New Roman" w:cs="Times New Roman"/>
              </w:rPr>
              <w:t xml:space="preserve">300</w:t>
            </w:r>
          </w:p>
        </w:tc>
      </w:tr>
      <w:tr>
        <w:trPr>
          <w:cantSplit/>
        </w:trPr>
        <w:tc>
          <w:tcPr>
            <w:tcW w:w="2245.32" w:type="dxa"/>
            <w:vAlign w:val="center"/>
          </w:tcPr>
          <w:p>
            <w:pPr>
              <w:jc w:val="both"/>
              <w:pStyle w:val="CellColumn"/>
            </w:pPr>
            <w:r>
              <w:rPr>
                <w:rFonts w:hAnsi="Times New Roman" w:cs="Times New Roman"/>
              </w:rPr>
              <w:t xml:space="preserve">Broj polaznika e-učenja; pripreme za državni ispit</w:t>
            </w:r>
          </w:p>
        </w:tc>
        <w:tc>
          <w:tcPr>
            <w:tcW w:w="2245.32" w:type="dxa"/>
            <w:vAlign w:val="center"/>
          </w:tcPr>
          <w:p>
            <w:pPr>
              <w:jc w:val="both"/>
              <w:pStyle w:val="CellColumn"/>
            </w:pPr>
            <w:r>
              <w:rPr>
                <w:rFonts w:hAnsi="Times New Roman" w:cs="Times New Roman"/>
              </w:rPr>
              <w:t xml:space="preserve">Službenici iz državnih tijela, upravnih tijela JLP(R)S te pravnih osoba s javnim ovlastima koji imaju obvezu polaganja državnog ispita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2400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3400</w:t>
            </w:r>
          </w:p>
        </w:tc>
        <w:tc>
          <w:tcPr>
            <w:tcW w:w="918.54" w:type="dxa"/>
            <w:vAlign w:val="center"/>
          </w:tcPr>
          <w:p>
            <w:pPr>
              <w:jc w:val="both"/>
              <w:pStyle w:val="CellColumn"/>
            </w:pPr>
            <w:r>
              <w:rPr>
                <w:rFonts w:hAnsi="Times New Roman" w:cs="Times New Roman"/>
              </w:rPr>
              <w:t xml:space="preserve">3400</w:t>
            </w:r>
          </w:p>
        </w:tc>
        <w:tc>
          <w:tcPr>
            <w:tcW w:w="918.54" w:type="dxa"/>
            <w:vAlign w:val="center"/>
          </w:tcPr>
          <w:p>
            <w:pPr>
              <w:jc w:val="both"/>
              <w:pStyle w:val="CellColumn"/>
            </w:pPr>
            <w:r>
              <w:rPr>
                <w:rFonts w:hAnsi="Times New Roman" w:cs="Times New Roman"/>
              </w:rPr>
              <w:t xml:space="preserve">3400</w:t>
            </w:r>
          </w:p>
        </w:tc>
      </w:tr>
    </w:tbl>
    <w:p>
      <w:pPr>
        <w:jc w:val="left"/>
      </w:pPr>
      <w:r>
        <w:rPr>
          <w:rFonts w:hAnsi="Times New Roman" w:cs="Times New Roman"/>
        </w:rPr>
        <w:t xml:space="preserve"/>
      </w:r>
    </w:p>
    <w:p>
      <w:pPr>
        <w:jc w:val="left"/>
        <w:pStyle w:val="Heading4"/>
      </w:pPr>
      <w:r>
        <w:rPr>
          <w:rFonts w:hAnsi="Times New Roman" w:cs="Times New Roman"/>
        </w:rPr>
        <w:t xml:space="preserve">A830003 SLUŽBENIČKI SUDOVI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Članak 113. stavak 3. i članak 114. stavak 5. Zakona o državnim službenicima, točka V. i VII. Odluke Vlade Republike Hrvatske o ustrojavanju Službeničkog suda i Višeg službeničkog suda, točka III. Odluke Vlade Republike Hrvatske o ustrojavanju Službeničkog suda za državne službenike sustava izvršavanja kazne zatvora u Ministarstvu pravosuđa, Rješenje o iznosu novčane naknade za rad u službeničkim sudovima i Višem službeničkom sudu od 24. studenoga 2023. godine, Rješenje o iznosu novčane naknade za rad u Službeničkom sudu za državne službenike sustava izvršavanja kazne zatvora u Ministarstvu pravosuđa i uprave od 10. siječnja 2024.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A830003-SLUŽBENIČKI SUDOVI</w:t>
            </w:r>
          </w:p>
        </w:tc>
        <w:tc>
          <w:tcPr>
            <w:tcW w:w="1632.96" w:type="dxa"/>
            <w:vAlign w:val="center"/>
          </w:tcPr>
          <w:p>
            <w:pPr>
              <w:jc w:val="both"/>
              <w:pStyle w:val="CellColumn"/>
            </w:pPr>
            <w:r>
              <w:rPr>
                <w:rFonts w:hAnsi="Times New Roman" w:cs="Times New Roman"/>
              </w:rPr>
              <w:t xml:space="preserve">46.461</w:t>
            </w:r>
          </w:p>
        </w:tc>
        <w:tc>
          <w:tcPr>
            <w:tcW w:w="1632.96" w:type="dxa"/>
            <w:vAlign w:val="center"/>
          </w:tcPr>
          <w:p>
            <w:pPr>
              <w:jc w:val="both"/>
              <w:pStyle w:val="CellColumn"/>
            </w:pPr>
            <w:r>
              <w:rPr>
                <w:rFonts w:hAnsi="Times New Roman" w:cs="Times New Roman"/>
              </w:rPr>
              <w:t xml:space="preserve">81.000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100.000</w:t>
            </w:r>
          </w:p>
        </w:tc>
        <w:tc>
          <w:tcPr>
            <w:tcW w:w="1632.96" w:type="dxa"/>
            <w:vAlign w:val="center"/>
          </w:tcPr>
          <w:p>
            <w:pPr>
              <w:jc w:val="both"/>
              <w:pStyle w:val="CellColumn"/>
            </w:pPr>
            <w:r>
              <w:rPr>
                <w:rFonts w:hAnsi="Times New Roman" w:cs="Times New Roman"/>
              </w:rPr>
              <w:t xml:space="preserve">100.000</w:t>
            </w:r>
          </w:p>
        </w:tc>
        <w:tc>
          <w:tcPr>
            <w:tcW w:w="510.3" w:type="dxa"/>
            <w:vAlign w:val="center"/>
          </w:tcPr>
          <w:p>
            <w:pPr>
              <w:jc w:val="both"/>
              <w:pStyle w:val="CellColumn"/>
            </w:pPr>
            <w:r>
              <w:rPr>
                <w:rFonts w:hAnsi="Times New Roman" w:cs="Times New Roman"/>
              </w:rPr>
              <w:t xml:space="preserve">123,5</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u okviru ove aktivnosti odnose se na naknade za rad predsjednicima, članovima, tajnicima i zapisničarima Službeničkog suda, Višeg službeničkog suda i Službeničkog suda za državne službenike izvršavanja kazne zatvora.S obzirom na inflatorna kretanja i porast troškova života u proteklom razdoblju,  a vodeći računa o složenosti postupaka kao i teritorijalnoj nadležnosti Službeničkog suda (ukinuti su Službenički sudovi u Osijeku, Rijeci i Splitu) i Višeg službeničkog suda, doneseno je novo Rješenje o iznosu novčane naknade za rad u tim sudovima (od 24. listopada 2023. i 10. siječnja 2024.), kojim su povećani iznosi naknada koje se isplaćuju po završenom predmetu. Novčane naknade od 24. listopada 2023. iznose za: predsjednika vijeća Višeg službeničkog suda 130 €, članove vijeća i tajnike Višeg službeničkog suda 80 €, predsjednika vijeća Službeničkog suda 120 €, članova vijeća i tajnike Službeničkog suda 70 €, zapisničare Višeg službeničkog suda i Službeničkog suda 30 €. U okviru ove aktivnosti se osiguravaju i sredstva za plaćanje naknada troškova tužiteljima po presudama upravnih sudova u izgubljenim upravnim sporovima Službeničkog suda i Višeg službeničkog suda (dosuđeni iznos po presudi je prosječno 1.725 €), kao i sredstava za određene troškove u upravnom postupku pred Službeničkim sudom (putni troškovi svjedoka, naknada za rad vještaka i dr.). Planirana sredstva iznose 100.000 € godišnje, što je za 19.000 € više u odnosu na Tekući plan 2024. i Projekciju 2025.</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riješenih predmeta u tekućoj godini</w:t>
            </w:r>
          </w:p>
        </w:tc>
        <w:tc>
          <w:tcPr>
            <w:tcW w:w="2245.32" w:type="dxa"/>
            <w:vAlign w:val="center"/>
          </w:tcPr>
          <w:p>
            <w:pPr>
              <w:jc w:val="both"/>
              <w:pStyle w:val="CellColumn"/>
            </w:pPr>
            <w:r>
              <w:rPr>
                <w:rFonts w:hAnsi="Times New Roman" w:cs="Times New Roman"/>
              </w:rPr>
              <w:t xml:space="preserve">Naknade za rad predsjednicima,  članovima, tajnicima i zapisničarima Službeničkog suda, Višeg službeničkog suda i Službeničkog suda za državne službenike sustava izvršavanja kazne zatvora se isplaćuju na temelju broja riješenih predmeta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180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180</w:t>
            </w:r>
          </w:p>
        </w:tc>
        <w:tc>
          <w:tcPr>
            <w:tcW w:w="918.54" w:type="dxa"/>
            <w:vAlign w:val="center"/>
          </w:tcPr>
          <w:p>
            <w:pPr>
              <w:jc w:val="both"/>
              <w:pStyle w:val="CellColumn"/>
            </w:pPr>
            <w:r>
              <w:rPr>
                <w:rFonts w:hAnsi="Times New Roman" w:cs="Times New Roman"/>
              </w:rPr>
              <w:t xml:space="preserve">180</w:t>
            </w:r>
          </w:p>
        </w:tc>
        <w:tc>
          <w:tcPr>
            <w:tcW w:w="918.54" w:type="dxa"/>
            <w:vAlign w:val="center"/>
          </w:tcPr>
          <w:p>
            <w:pPr>
              <w:jc w:val="both"/>
              <w:pStyle w:val="CellColumn"/>
            </w:pPr>
            <w:r>
              <w:rPr>
                <w:rFonts w:hAnsi="Times New Roman" w:cs="Times New Roman"/>
              </w:rPr>
              <w:t xml:space="preserve">180</w:t>
            </w:r>
          </w:p>
        </w:tc>
      </w:tr>
      <w:tr>
        <w:trPr>
          <w:cantSplit/>
        </w:trPr>
        <w:tc>
          <w:tcPr>
            <w:tcW w:w="2245.32" w:type="dxa"/>
            <w:vAlign w:val="center"/>
          </w:tcPr>
          <w:p>
            <w:pPr>
              <w:jc w:val="both"/>
              <w:pStyle w:val="CellColumn"/>
            </w:pPr>
            <w:r>
              <w:rPr>
                <w:rFonts w:hAnsi="Times New Roman" w:cs="Times New Roman"/>
              </w:rPr>
              <w:t xml:space="preserve">Broj izgubljenih upravnih sporova</w:t>
            </w:r>
          </w:p>
        </w:tc>
        <w:tc>
          <w:tcPr>
            <w:tcW w:w="2245.32" w:type="dxa"/>
            <w:vAlign w:val="center"/>
          </w:tcPr>
          <w:p>
            <w:pPr>
              <w:jc w:val="both"/>
              <w:pStyle w:val="CellColumn"/>
            </w:pPr>
            <w:r>
              <w:rPr>
                <w:rFonts w:hAnsi="Times New Roman" w:cs="Times New Roman"/>
              </w:rPr>
              <w:t xml:space="preserve">Naknade troškova postupka po izgubljenom upravnom sporu (prosječno 1.725 €)</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8</w:t>
            </w:r>
          </w:p>
        </w:tc>
      </w:tr>
      <w:tr>
        <w:trPr>
          <w:cantSplit/>
        </w:trPr>
        <w:tc>
          <w:tcPr>
            <w:tcW w:w="2245.32" w:type="dxa"/>
            <w:vAlign w:val="center"/>
          </w:tcPr>
          <w:p>
            <w:pPr>
              <w:jc w:val="both"/>
              <w:pStyle w:val="CellColumn"/>
            </w:pPr>
            <w:r>
              <w:rPr>
                <w:rFonts w:hAnsi="Times New Roman" w:cs="Times New Roman"/>
              </w:rPr>
              <w:t xml:space="preserve">Ostali troškovi upravnog postupka pred Službeničkim sudom</w:t>
            </w:r>
          </w:p>
        </w:tc>
        <w:tc>
          <w:tcPr>
            <w:tcW w:w="2245.32" w:type="dxa"/>
            <w:vAlign w:val="center"/>
          </w:tcPr>
          <w:p>
            <w:pPr>
              <w:jc w:val="both"/>
              <w:pStyle w:val="CellColumn"/>
            </w:pPr>
            <w:r>
              <w:rPr>
                <w:rFonts w:hAnsi="Times New Roman" w:cs="Times New Roman"/>
              </w:rPr>
              <w:t xml:space="preserve">Naknade putnih troškova svjedoka, naknade za rad vještaka i dr. (cca 500 €)</w:t>
            </w:r>
          </w:p>
        </w:tc>
        <w:tc>
          <w:tcPr>
            <w:tcW w:w="918.54" w:type="dxa"/>
            <w:vAlign w:val="center"/>
          </w:tcPr>
          <w:p>
            <w:pPr>
              <w:jc w:val="both"/>
              <w:pStyle w:val="CellColumn"/>
            </w:pPr>
            <w:r>
              <w:rPr>
                <w:rFonts w:hAnsi="Times New Roman" w:cs="Times New Roman"/>
              </w:rPr>
              <w:t xml:space="preserve">broj zahtjeva</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r>
    </w:tbl>
    <w:p>
      <w:pPr>
        <w:jc w:val="left"/>
      </w:pPr>
      <w:r>
        <w:rPr>
          <w:rFonts w:hAnsi="Times New Roman" w:cs="Times New Roman"/>
        </w:rPr>
        <w:t xml:space="preserve"/>
      </w:r>
    </w:p>
    <w:p>
      <w:pPr>
        <w:jc w:val="left"/>
        <w:pStyle w:val="Heading4"/>
      </w:pPr>
      <w:r>
        <w:rPr>
          <w:rFonts w:hAnsi="Times New Roman" w:cs="Times New Roman"/>
        </w:rPr>
        <w:t xml:space="preserve">A830004 ODBOR ZA DRŽAVNU SLUŽBU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državnim službenicima (članci 65.-67.), Uredba o ustrojstvu i načinu rada Odbora za državnu službu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A830004-ODBOR ZA DRŽAVNU SLUŽBU</w:t>
            </w:r>
          </w:p>
        </w:tc>
        <w:tc>
          <w:tcPr>
            <w:tcW w:w="1632.96" w:type="dxa"/>
            <w:vAlign w:val="center"/>
          </w:tcPr>
          <w:p>
            <w:pPr>
              <w:jc w:val="both"/>
              <w:pStyle w:val="CellColumn"/>
            </w:pPr>
            <w:r>
              <w:rPr>
                <w:rFonts w:hAnsi="Times New Roman" w:cs="Times New Roman"/>
              </w:rPr>
              <w:t xml:space="preserve">269.050</w:t>
            </w:r>
          </w:p>
        </w:tc>
        <w:tc>
          <w:tcPr>
            <w:tcW w:w="1632.96" w:type="dxa"/>
            <w:vAlign w:val="center"/>
          </w:tcPr>
          <w:p>
            <w:pPr>
              <w:jc w:val="both"/>
              <w:pStyle w:val="CellColumn"/>
            </w:pPr>
            <w:r>
              <w:rPr>
                <w:rFonts w:hAnsi="Times New Roman" w:cs="Times New Roman"/>
              </w:rPr>
              <w:t xml:space="preserve">429.900</w:t>
            </w:r>
          </w:p>
        </w:tc>
        <w:tc>
          <w:tcPr>
            <w:tcW w:w="1632.96" w:type="dxa"/>
            <w:vAlign w:val="center"/>
          </w:tcPr>
          <w:p>
            <w:pPr>
              <w:jc w:val="both"/>
              <w:pStyle w:val="CellColumn"/>
            </w:pPr>
            <w:r>
              <w:rPr>
                <w:rFonts w:hAnsi="Times New Roman" w:cs="Times New Roman"/>
              </w:rPr>
              <w:t xml:space="preserve">533.550</w:t>
            </w:r>
          </w:p>
        </w:tc>
        <w:tc>
          <w:tcPr>
            <w:tcW w:w="1632.96" w:type="dxa"/>
            <w:vAlign w:val="center"/>
          </w:tcPr>
          <w:p>
            <w:pPr>
              <w:jc w:val="both"/>
              <w:pStyle w:val="CellColumn"/>
            </w:pPr>
            <w:r>
              <w:rPr>
                <w:rFonts w:hAnsi="Times New Roman" w:cs="Times New Roman"/>
              </w:rPr>
              <w:t xml:space="preserve">533.550</w:t>
            </w:r>
          </w:p>
        </w:tc>
        <w:tc>
          <w:tcPr>
            <w:tcW w:w="1632.96" w:type="dxa"/>
            <w:vAlign w:val="center"/>
          </w:tcPr>
          <w:p>
            <w:pPr>
              <w:jc w:val="both"/>
              <w:pStyle w:val="CellColumn"/>
            </w:pPr>
            <w:r>
              <w:rPr>
                <w:rFonts w:hAnsi="Times New Roman" w:cs="Times New Roman"/>
              </w:rPr>
              <w:t xml:space="preserve">533.550</w:t>
            </w:r>
          </w:p>
        </w:tc>
        <w:tc>
          <w:tcPr>
            <w:tcW w:w="510.3" w:type="dxa"/>
            <w:vAlign w:val="center"/>
          </w:tcPr>
          <w:p>
            <w:pPr>
              <w:jc w:val="both"/>
              <w:pStyle w:val="CellColumn"/>
            </w:pPr>
            <w:r>
              <w:rPr>
                <w:rFonts w:hAnsi="Times New Roman" w:cs="Times New Roman"/>
              </w:rPr>
              <w:t xml:space="preserve">124,1</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potrebna za rad Odbora za državnu službu. Odbor je stalno neovisno tijelo koje odlučuje po žalbama protiv rješenja o prijmu u državnu službu i rješenja kojima se odlučuje o pravima i obvezama državnih službenika. Odbor ima 11 članova (uključujući predsjednika), koje imenuje Vlada RH i u statusu su državnih službenika, a u Odboru rade puno radno vrijeme te za rad primaju plaću. Za 2025. je planirano 533.550 €, što je za 103.650 € više u odnosu na Tekući plan 2024. Više sredstva je potrebno osigurati zbog primjene odredbi Zakona o plaćama u državnoj službi i javnim službama i uredbi vezanih za taj Zakon te imenovanja preostala 2 člana Odbora (trenutno ih je imenovano 9 od 11).  Od ukupno planiranih sredstava, najveći dio od 82,6% se odnosi na plaće i doprinose. Zbog povećanih odvjetničkih tarifa od oko 200 % u zadnjih godinu dana, povećana su sredstva za podmirenje troškova sudskih postupaka (konto 3296) te iznose 40.000 €. Planirani iznosi za 2026. i 2027. su na razini 2025.</w:t>
      </w:r>
    </w:p>
    <w:p>
      <w:pPr>
        <w:jc w:val="left"/>
        <w:pStyle w:val="Heading4"/>
      </w:pPr>
      <w:r>
        <w:rPr>
          <w:rFonts w:hAnsi="Times New Roman" w:cs="Times New Roman"/>
        </w:rPr>
        <w:t xml:space="preserve">A830026 USLUGE KOLEKTIVNOG OSIGURANJA OSOBA OD POSLJEDICA NESRETNOG SLUČAJA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Kolektivni ugovor za državne službenike i namještenike, Temeljni kolektivni ugovor za službenike i namještenike u javnim službama, Okvirni sporazum Središnjeg državnog ureda za središnju javnu nabavu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A830026-USLUGE KOLEKTIVNOG OSIGURANJA OSOBA OD POSLJEDICA NESRETNOG SLUČAJA</w:t>
            </w:r>
          </w:p>
        </w:tc>
        <w:tc>
          <w:tcPr>
            <w:tcW w:w="1632.96" w:type="dxa"/>
            <w:vAlign w:val="center"/>
          </w:tcPr>
          <w:p>
            <w:pPr>
              <w:jc w:val="both"/>
              <w:pStyle w:val="CellColumn"/>
            </w:pPr>
            <w:r>
              <w:rPr>
                <w:rFonts w:hAnsi="Times New Roman" w:cs="Times New Roman"/>
              </w:rPr>
              <w:t xml:space="preserve">775.901</w:t>
            </w:r>
          </w:p>
        </w:tc>
        <w:tc>
          <w:tcPr>
            <w:tcW w:w="1632.96" w:type="dxa"/>
            <w:vAlign w:val="center"/>
          </w:tcPr>
          <w:p>
            <w:pPr>
              <w:jc w:val="both"/>
              <w:pStyle w:val="CellColumn"/>
            </w:pPr>
            <w:r>
              <w:rPr>
                <w:rFonts w:hAnsi="Times New Roman" w:cs="Times New Roman"/>
              </w:rPr>
              <w:t xml:space="preserve">870.000</w:t>
            </w:r>
          </w:p>
        </w:tc>
        <w:tc>
          <w:tcPr>
            <w:tcW w:w="1632.96" w:type="dxa"/>
            <w:vAlign w:val="center"/>
          </w:tcPr>
          <w:p>
            <w:pPr>
              <w:jc w:val="both"/>
              <w:pStyle w:val="CellColumn"/>
            </w:pPr>
            <w:r>
              <w:rPr>
                <w:rFonts w:hAnsi="Times New Roman" w:cs="Times New Roman"/>
              </w:rPr>
              <w:t xml:space="preserve">870.000</w:t>
            </w:r>
          </w:p>
        </w:tc>
        <w:tc>
          <w:tcPr>
            <w:tcW w:w="1632.96" w:type="dxa"/>
            <w:vAlign w:val="center"/>
          </w:tcPr>
          <w:p>
            <w:pPr>
              <w:jc w:val="both"/>
              <w:pStyle w:val="CellColumn"/>
            </w:pPr>
            <w:r>
              <w:rPr>
                <w:rFonts w:hAnsi="Times New Roman" w:cs="Times New Roman"/>
              </w:rPr>
              <w:t xml:space="preserve">870.000</w:t>
            </w:r>
          </w:p>
        </w:tc>
        <w:tc>
          <w:tcPr>
            <w:tcW w:w="1632.96" w:type="dxa"/>
            <w:vAlign w:val="center"/>
          </w:tcPr>
          <w:p>
            <w:pPr>
              <w:jc w:val="both"/>
              <w:pStyle w:val="CellColumn"/>
            </w:pPr>
            <w:r>
              <w:rPr>
                <w:rFonts w:hAnsi="Times New Roman" w:cs="Times New Roman"/>
              </w:rPr>
              <w:t xml:space="preserve">870.000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sredstva su osigurana za plaćanje premija osiguranja za sve zaposlene u javnom sektoru, kojima se plaće i naknade isplaćuju iz Državnog proračuna Republike Hrvatske. Obveza plaćanja premije osiguranja proizlazi iz zaključenih Kolektivnih ugovora za zaposlene u državnoj i javnim službama kojima je ugovoreno pravo zaposlenika u javnom sektoru na osiguranje, kao i sklopljenog Okvirnog sporazuma Središnjeg državnog ureda za središnju javnu nabavu. Planirana sredstva iznose 870.000 € za svaku godinu ovog proračunskog razdoblja i nisu se mijenjala u odnosu na Tekući plan 2024.</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osiguranih osoba u javnom sektoru</w:t>
            </w:r>
          </w:p>
        </w:tc>
        <w:tc>
          <w:tcPr>
            <w:tcW w:w="2245.32" w:type="dxa"/>
            <w:vAlign w:val="center"/>
          </w:tcPr>
          <w:p>
            <w:pPr>
              <w:jc w:val="both"/>
              <w:pStyle w:val="CellColumn"/>
            </w:pPr>
            <w:r>
              <w:rPr>
                <w:rFonts w:hAnsi="Times New Roman" w:cs="Times New Roman"/>
              </w:rPr>
              <w:t xml:space="preserve">Za svaku osiguranu osobu zaposlenu u javnom sektoru ugovorena godišnja premija osiguranja iznosi 3,36 €</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242.200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260.000</w:t>
            </w:r>
          </w:p>
        </w:tc>
        <w:tc>
          <w:tcPr>
            <w:tcW w:w="918.54" w:type="dxa"/>
            <w:vAlign w:val="center"/>
          </w:tcPr>
          <w:p>
            <w:pPr>
              <w:jc w:val="both"/>
              <w:pStyle w:val="CellColumn"/>
            </w:pPr>
            <w:r>
              <w:rPr>
                <w:rFonts w:hAnsi="Times New Roman" w:cs="Times New Roman"/>
              </w:rPr>
              <w:t xml:space="preserve">260.000</w:t>
            </w:r>
          </w:p>
        </w:tc>
        <w:tc>
          <w:tcPr>
            <w:tcW w:w="918.54" w:type="dxa"/>
            <w:vAlign w:val="center"/>
          </w:tcPr>
          <w:p>
            <w:pPr>
              <w:jc w:val="both"/>
              <w:pStyle w:val="CellColumn"/>
            </w:pPr>
            <w:r>
              <w:rPr>
                <w:rFonts w:hAnsi="Times New Roman" w:cs="Times New Roman"/>
              </w:rPr>
              <w:t xml:space="preserve">260.000</w:t>
            </w:r>
          </w:p>
        </w:tc>
      </w:tr>
    </w:tbl>
    <w:p>
      <w:pPr>
        <w:jc w:val="left"/>
      </w:pPr>
      <w:r>
        <w:rPr>
          <w:rFonts w:hAnsi="Times New Roman" w:cs="Times New Roman"/>
        </w:rPr>
        <w:t xml:space="preserve"/>
      </w:r>
    </w:p>
    <w:p>
      <w:pPr>
        <w:jc w:val="left"/>
        <w:pStyle w:val="Heading4"/>
      </w:pPr>
      <w:r>
        <w:rPr>
          <w:rFonts w:hAnsi="Times New Roman" w:cs="Times New Roman"/>
        </w:rPr>
        <w:t xml:space="preserve">K830028 PROGRAM KONKURENTNOST I KOHEZIJA 2021. - 2027.</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državnoj informacijskoj infrastrukturi, Strategija digitalne Hrvatske za razdoblje do 2032. godine, Program Konkurentnosti i kohezija 2021. – 2027., Poziv na dostavu projektnog prijedloga – Izravna dodjela – Eksternalizacija NIAS usluga elektroničke identifikacije korisnika za potrebe gospodarstva i civilnog društva, PK.1.2.02., 1. izmjene Poziva - Ministarstvo regionalnog razvoja i fondova Europske unije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K830028-PROGRAM KONKURENTNOST I KOHEZIJA 2021. - 2027.</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325.000</w:t>
            </w:r>
          </w:p>
        </w:tc>
        <w:tc>
          <w:tcPr>
            <w:tcW w:w="1632.96" w:type="dxa"/>
            <w:vAlign w:val="center"/>
          </w:tcPr>
          <w:p>
            <w:pPr>
              <w:jc w:val="both"/>
              <w:pStyle w:val="CellColumn"/>
            </w:pPr>
            <w:r>
              <w:rPr>
                <w:rFonts w:hAnsi="Times New Roman" w:cs="Times New Roman"/>
              </w:rPr>
              <w:t xml:space="preserve">2.613.046</w:t>
            </w:r>
          </w:p>
        </w:tc>
        <w:tc>
          <w:tcPr>
            <w:tcW w:w="1632.96" w:type="dxa"/>
            <w:vAlign w:val="center"/>
          </w:tcPr>
          <w:p>
            <w:pPr>
              <w:jc w:val="both"/>
              <w:pStyle w:val="CellColumn"/>
            </w:pPr>
            <w:r>
              <w:rPr>
                <w:rFonts w:hAnsi="Times New Roman" w:cs="Times New Roman"/>
              </w:rPr>
              <w:t xml:space="preserve">9.745.629</w:t>
            </w:r>
          </w:p>
        </w:tc>
        <w:tc>
          <w:tcPr>
            <w:tcW w:w="1632.96" w:type="dxa"/>
            <w:vAlign w:val="center"/>
          </w:tcPr>
          <w:p>
            <w:pPr>
              <w:jc w:val="both"/>
              <w:pStyle w:val="CellColumn"/>
            </w:pPr>
            <w:r>
              <w:rPr>
                <w:rFonts w:hAnsi="Times New Roman" w:cs="Times New Roman"/>
              </w:rPr>
              <w:t xml:space="preserve">9.064.354</w:t>
            </w:r>
          </w:p>
        </w:tc>
        <w:tc>
          <w:tcPr>
            <w:tcW w:w="510.3" w:type="dxa"/>
            <w:vAlign w:val="center"/>
          </w:tcPr>
          <w:p>
            <w:pPr>
              <w:jc w:val="both"/>
              <w:pStyle w:val="CellColumn"/>
            </w:pPr>
            <w:r>
              <w:rPr>
                <w:rFonts w:hAnsi="Times New Roman" w:cs="Times New Roman"/>
              </w:rPr>
              <w:t xml:space="preserve">804,0</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na ovom programu (IF 12 Sredstva učešća za pomoći, IF 563 Europski fond za regionalni razvoj (EFRR)), u sklopu Višegodišnjeg financijskog okvira 2021-2027., za 2025. iznose 2.613.046 € (IF 12: 620.045 €, IF 563: 1.993.001 €). Sredstva su planirana za provedbu otvorenih Poziva  "Buduća digitalna rješenja za e-upravu“ i "Digitalizacija usluga lokalne i područne (regionalne) samouprave“, za koje će Ministarstvo imati  ulogu sektorski nadležnog tijela koje će provoditi plaćanja prema krajnjim korisnicima. Za provedbu izravnih dodjela u okviru Poziva "Nove i inovativne e-pravosudne usluge usmjerene na građane i poduzeća s ciljem modernizacije i promicanja pristupačnog pravosuđa“ i  Poziva "Unaprjeđenje usluga povezanih sa zemljišnim knjigama za bolje poslovno okruženje“ Ministarstvo će biti krajnji korisnik sredstava. U okviru ovog programa su od 2025. planirana i sredstva za projekt „Eksternalizacija NIAS usluga za potrebe gospodarskog sektora i civilnog društva koji se financira iz Programa Konkurentnost i kohezija 2021. – 2027. (PKK), Prioriteta 1. Jačanje gospodarstva ulaganjem u istraživanje i inovacije, podupiranjem poslovne konkurentnosti, digitalizacije i razvojem vještina za pametnu specijalizaciju i Specifičnog cilja 1.ii Iskorištavanje koristi digitalizacije za građane, poduzeća, istraživačke organizacije i tijela javne vlasti. Planirane aktivnosti se odnose na izradu i implementaciju cjelovitog programskog rješenja, potrebne nadogradnje postojećih sustava, cjelovitu tehničku, korisničku podršku i testiranja (performansna testiranja, korisnička testiranja), izradu tehničke i korisničke dokumentacije te osposobljavanje za rad sa sustavom za vrijeme trajanja projekta, uz aktivnosti promidžbe i vidljivosti projekta, upravljanje projektom i administraciju s uključenim indirektnim troškovima. Nadogradnjom postojeće elektroničke identifikacije NIAS-a omogućit će se poticanje digitalne transformacije gospodarskog sektora, mikro, malih, srednjih i velikih poduzetnika, obrta i poljoprivrednih gospodarstava te organizacija civilnog društva, kroz korištenje NIAS usluge kao dijela državne informacijske infrastrukture. Također, Eksternalizacijom NIAS-a će se omogućiti administrativno rasterećenje i uštede u dijelu identifikacije i autentifikacije na strani gospodarstva i civilnog društva, poboljšati kvaliteta i dostupnost e-usluga krajnjim korisnicima (građanima) te osigurati prekogranična interoperabilnost sa sustavima drugih država članica. Dostava projektnog prijedloga Eksternalizacija NIAS usluga za potrebe gospodarstva i civilnog društva, bit će moguća po donošenju novog Zakona o državnoj informacijskoj infrastrukturi kojim će se omogućiti korištenje određenih servisa državne informacijske infrastrukture i od strane privatnog i civilnog sektora kao dijeljene usluge državne informacijske infrastrukture u procesu elektroničke identifikacije online korisnika digitalnih usluga, a njegova provedba nakon sklapanja ugovora o dodjeli bespovratnih EU sredstava. Ovaj projekt je, do sada, bio planiran pod projektom T912028 Eksternalizacija NIAS usluga za potrebe gospodarskog sektora i civilnog društva u okviru financijskog plana bivšeg SDURDD-a koja je ukinuta.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Projekti ugovoreni kroz PKK</w:t>
            </w:r>
          </w:p>
        </w:tc>
        <w:tc>
          <w:tcPr>
            <w:tcW w:w="2245.32" w:type="dxa"/>
            <w:vAlign w:val="center"/>
          </w:tcPr>
          <w:p>
            <w:pPr>
              <w:jc w:val="both"/>
              <w:pStyle w:val="CellColumn"/>
            </w:pPr>
            <w:r>
              <w:rPr>
                <w:rFonts w:hAnsi="Times New Roman" w:cs="Times New Roman"/>
              </w:rPr>
              <w:t xml:space="preserve">Ugovori o dodjeli bespovratnih sredstava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10</w:t>
            </w:r>
          </w:p>
        </w:tc>
      </w:tr>
    </w:tbl>
    <w:p>
      <w:pPr>
        <w:jc w:val="left"/>
      </w:pPr>
      <w:r>
        <w:rPr>
          <w:rFonts w:hAnsi="Times New Roman" w:cs="Times New Roman"/>
        </w:rPr>
        <w:t xml:space="preserve"/>
      </w:r>
    </w:p>
    <w:p>
      <w:pPr>
        <w:jc w:val="left"/>
        <w:pStyle w:val="Heading4"/>
      </w:pPr>
      <w:r>
        <w:rPr>
          <w:rFonts w:hAnsi="Times New Roman" w:cs="Times New Roman"/>
        </w:rPr>
        <w:t xml:space="preserve">T830025 TWINNING CRNA GORA 2018 - POTPORA SUSTAVU UPRAVLJANJA LJUDSKIM POTENCIJALIMA U JAVNOM SEKTORU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provedbi projekata međunarodne institucionalne suradnje Europske unije i projekata tehničke pomoći, članak 5. Notification letter od 17.7.2018. (CRIS NO. Europeaid 159-392/dd/act/me "Support to Human resources management in the public sector"), Ugovor o zajednici ponuditelja za projekt „Podrška upravljanju ljudskim potencijalima u javnom sektoru“ Referentni broj projekta: MN 17 IPA OT 02 18 između Hrvatske i Finske od 14.prosinca 2018., Odluka ministra uprave o osnivanju projektne skupine za provedbu IPA Twinning projekta od 29. studenoga 2018.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T830025-TWINNING CRNA GORA 2018 - POTPORA SUSTAVU UPRAVLJANJA LJUDSKIM POTENCIJALIMA U JAVNOM SEKTORU</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2.000</w:t>
            </w:r>
          </w:p>
        </w:tc>
        <w:tc>
          <w:tcPr>
            <w:tcW w:w="1632.96" w:type="dxa"/>
            <w:vAlign w:val="center"/>
          </w:tcPr>
          <w:p>
            <w:pPr>
              <w:jc w:val="both"/>
              <w:pStyle w:val="CellColumn"/>
            </w:pPr>
            <w:r>
              <w:rPr>
                <w:rFonts w:hAnsi="Times New Roman" w:cs="Times New Roman"/>
              </w:rPr>
              <w:t xml:space="preserve">45.230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2261,5</w:t>
            </w:r>
          </w:p>
        </w:tc>
      </w:tr>
    </w:tbl>
    <w:p>
      <w:pPr>
        <w:jc w:val="left"/>
      </w:pPr>
      <w:r>
        <w:rPr>
          <w:rFonts w:hAnsi="Times New Roman" w:cs="Times New Roman"/>
        </w:rPr>
        <w:t xml:space="preserve"/>
      </w:r>
    </w:p>
    <w:p>
      <w:pPr>
        <w:jc w:val="both"/>
        <w:pStyle w:val="Normal"/>
      </w:pPr>
      <w:r>
        <w:rPr>
          <w:rFonts w:hAnsi="Times New Roman" w:cs="Times New Roman"/>
        </w:rPr>
        <w:t xml:space="preserve">Projekt »Twinning Support to Human Resources Management in the public sector« (MN 17IPA ОТ 02 18) je projekt u kojem Republika Hrvatska ima ulogu mlađeg partnera u konzorciju s Finskom. Projekt je dodijeljen putem Notification letter od 17. srpnja 2018. temeljem Odluke ministra uprave o osnivanju projektne skupine za provedbu IPA Twinning projekta od 29. studenoga 2018. Projekt je završio u 2022., ali je tijekom 2024., temeljem odobrenog završnog izvješća, od finskih partnera zaprimljena uplata u iznosu 45.230 €, za sudjelovanje Ministarstva na projektu. Sredstva (IF 31 Vlastiti prihodi) se prenose u sljedeću godinu i sukladno tome su planirani rashodi za 2025.</w:t>
      </w:r>
    </w:p>
    <w:p>
      <w:pPr>
        <w:jc w:val="left"/>
        <w:pStyle w:val="Heading4"/>
      </w:pPr>
      <w:r>
        <w:rPr>
          <w:rFonts w:hAnsi="Times New Roman" w:cs="Times New Roman"/>
        </w:rPr>
        <w:t xml:space="preserve">T830027 JAČANJE JAVNE UPRAVE I PRAVOSUĐA, SPRJEČAVANJE KORUPCIJE I DIGITALNA TRANSFORMACIJA – NPOO, C2.2., C2.3., C2.5. I C2.6</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Nacionalni plan oporavka i otpornosti 2021. – 2026. (NPOO), Zakon o državnoj informacijskoj infrastrukturi, Zakon o podacima i informacijama u zdravstvu, Uredba o organizacijskim i tehničkim standardima za povezivanje na državnu informacijsku infrastrukturu, Uredba (EU) 2018/1724 Europskog parlamenta i Vijeća od 2. listopada 2018. o uspostavi jedinstvenog digitalnog pristupnika za pristup informacijama, postupcima, uslugama podrške i rješavanja problema te o izmjeni Uredbe (EU) br. 1024/2012</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T830027-JAČANJE JAVNE UPRAVE I PRAVOSUĐA, SPRJEČAVANJE KORUPCIJE I DIGITALNA TRANSFORMACIJA – NPOO, C2.2., C2.3., C2.5. I C2.6</w:t>
            </w:r>
          </w:p>
        </w:tc>
        <w:tc>
          <w:tcPr>
            <w:tcW w:w="1632.96" w:type="dxa"/>
            <w:vAlign w:val="center"/>
          </w:tcPr>
          <w:p>
            <w:pPr>
              <w:jc w:val="both"/>
              <w:pStyle w:val="CellColumn"/>
            </w:pPr>
            <w:r>
              <w:rPr>
                <w:rFonts w:hAnsi="Times New Roman" w:cs="Times New Roman"/>
              </w:rPr>
              <w:t xml:space="preserve">14.407.245</w:t>
            </w:r>
          </w:p>
        </w:tc>
        <w:tc>
          <w:tcPr>
            <w:tcW w:w="1632.96" w:type="dxa"/>
            <w:vAlign w:val="center"/>
          </w:tcPr>
          <w:p>
            <w:pPr>
              <w:jc w:val="both"/>
              <w:pStyle w:val="CellColumn"/>
            </w:pPr>
            <w:r>
              <w:rPr>
                <w:rFonts w:hAnsi="Times New Roman" w:cs="Times New Roman"/>
              </w:rPr>
              <w:t xml:space="preserve">28.175.600</w:t>
            </w:r>
          </w:p>
        </w:tc>
        <w:tc>
          <w:tcPr>
            <w:tcW w:w="1632.96" w:type="dxa"/>
            <w:vAlign w:val="center"/>
          </w:tcPr>
          <w:p>
            <w:pPr>
              <w:jc w:val="both"/>
              <w:pStyle w:val="CellColumn"/>
            </w:pPr>
            <w:r>
              <w:rPr>
                <w:rFonts w:hAnsi="Times New Roman" w:cs="Times New Roman"/>
              </w:rPr>
              <w:t xml:space="preserve">94.544.964</w:t>
            </w:r>
          </w:p>
        </w:tc>
        <w:tc>
          <w:tcPr>
            <w:tcW w:w="1632.96" w:type="dxa"/>
            <w:vAlign w:val="center"/>
          </w:tcPr>
          <w:p>
            <w:pPr>
              <w:jc w:val="both"/>
              <w:pStyle w:val="CellColumn"/>
            </w:pPr>
            <w:r>
              <w:rPr>
                <w:rFonts w:hAnsi="Times New Roman" w:cs="Times New Roman"/>
              </w:rPr>
              <w:t xml:space="preserve">90.329.674</w:t>
            </w:r>
          </w:p>
        </w:tc>
        <w:tc>
          <w:tcPr>
            <w:tcW w:w="1632.96" w:type="dxa"/>
            <w:vAlign w:val="center"/>
          </w:tcPr>
          <w:p>
            <w:pPr>
              <w:jc w:val="both"/>
              <w:pStyle w:val="CellColumn"/>
            </w:pPr>
            <w:r>
              <w:rPr>
                <w:rFonts w:hAnsi="Times New Roman" w:cs="Times New Roman"/>
              </w:rPr>
              <w:t xml:space="preserve">10.000.000</w:t>
            </w:r>
          </w:p>
        </w:tc>
        <w:tc>
          <w:tcPr>
            <w:tcW w:w="510.3" w:type="dxa"/>
            <w:vAlign w:val="center"/>
          </w:tcPr>
          <w:p>
            <w:pPr>
              <w:jc w:val="both"/>
              <w:pStyle w:val="CellColumn"/>
            </w:pPr>
            <w:r>
              <w:rPr>
                <w:rFonts w:hAnsi="Times New Roman" w:cs="Times New Roman"/>
              </w:rPr>
              <w:t xml:space="preserve">335,6</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na ovom projektu se odnose na dovršetak aktivnosti u okviru sljedećih ulaganja/reformi (NPOO): Daljnja optimizacija i decentralizacija JLP(R)S putem potpore funkcionalnom spajanju, Unaprjeđenje informacijskog sustava zemljišnih knjiga i katastra, Projektiranje i provedba projekta Trga pravde u Zagrebu za poboljšanje pristupa pravosuđu i učinkovitost trgovačkih postupaka i upravnih sporova, Stabilna i otporna IT infrastruktura informacijskog sustava pravosuđa, Uključivanje šire javnosti u borbu protiv korupcije podizanjem javne svijesti o štetnosti korupcije, nužnosti sprječavanja i pravnoj zaštiti prijavitelja, Povećanje učinkovitosti, koherentnosti i otvorenosti nadležnih tijela u borbi protiv korupcije kroz digitalizaciju, jačanje transparentnosti i unapređenje koordinacije, Unaprjeđenje korporativnog upravljanja u trgovačkim društvima u većinskom vlasništvu jedinica lokalne i područne (regionalne) samouprave te Digitalizacija etičkog sustava državnih službenika. Sredstva na IF 11 su planirana za provedbu projekta Projektiranje i provedba projekta Trga pravde u Zagrebu za poboljšanje pristupa pravosuđu i učinkovitost trgovačkih postupaka i upravnih sporova, sukladno Odluci Vlade RH kojom se osiguravaju nacionalna sredstva za dovršetak projekta s obzirom da alokacija iz NPOO-a nije dovoljna za realizaciju cijele investicije. Dodatno su na IF 11 planirani troškovi komunalnog doprinosa, tehničke zaštite zgrade i opremanja  zgrade. Osim za navedena ulaganja, u okviru ovog projekta su planirana sredstva za projekte bivšeg SDURDD-a koji se financiraju iz IF 581 Mehanizam za oporavak i otpornost, a koji su se do sada vodili na više aktivnosti (A912019, A912020, A912021, A912022, A912023, A912024, A912025). Sukladno odobrenju Ministarstva financija, od 2025. se svi projekti koji se financiraju iz IF 581 Mehanizam za oporavak i otpornost planiraju u okviru T830027 Jačanje javne uprave, pravosuđa i sprječavanje korupcije – NPOO. 
</w:t>
      </w:r>
    </w:p>
    <w:p>
      <w:pPr>
        <w:jc w:val="both"/>
        <w:pStyle w:val="Normal"/>
      </w:pPr>
      <w:r>
        <w:rPr>
          <w:rFonts w:hAnsi="Times New Roman" w:cs="Times New Roman"/>
        </w:rPr>
        <w:t xml:space="preserve">Ciljevi investicije Ulaganje u mreže državne informacijske infrastrukture su: uspostava sigurne mrežne infrastrukture na postojećim i novim lokacijama gdje institucije pružaju usluge građanima i/ili poslovnim subjektima, osiguranje mrežnih kapaciteta primjerenih potrebama suvremenog informacijskog društva, povećanje sigurnosti cijele državne informacijske infrastrukture (DII). Planirana sredstva se odnose na administraciju i upravljanje projektom, uspostavu jezgrenog dijela mreže, uspostavu svjetlovodne infrastrukture, izradu studije i dizajn nove mrežne arhitekture, najam veze prema Internetu putem dva neovisna operatora, modernizaciju mrežnog nadzornog centra i inženjerske podrške za otklanjanje kvarova s radnim vremenom 24/7, konsolidaciju postojećih korisnika mreže DII na novouspostavljeni jezgreni dio mreže te spajanje novih korisnika na mrežu, edukaciju službenika u javnopravnim tijelima za administraciju i korištenje sustava i vidljivost projekta te za troškove administracije i upravljanja projektom. Provedbom projekta Konsolidacija sustava zdravstvene informacijske infrastrukture CEZIH se ostvaruju sljedeći ciljevi: omogućavanje kontinuiranog, ispravnog, pouzdanog i sigurnog načina rada centralnog zdravstvenog informacijskog sustava; uspostava primarne i sekundarne lokacije uz zadovoljavanje TIER 3 standarda pouzdanosti i dostupnosti; osiguravanje podataka (backup) te nadzor rada sustava. Provedbom ove investicije osigurava se nesmetan rad i daljnji razvoj informacijskog sustava zdravstva u koji se slijevaju svi zdravstveni podaci koji nastaju u Hrvatskoj. Planirani rashodi uključuju administrativne troškove vođenja projekta i nabavu, troškove promidžbe te nadogradnju informacijsko-komunikacijske infrastrukture za smještaj aplikativnog sustava CEZIH. U okviru projekta Nadogradnja centra dijeljenih usluga planirana je nadogradnja kapaciteta, usluga i funkcionalnosti postojećeg Centra dijeljenih usluga te uspostava najmodernije razvojne okoline za postojeći državni oblak, ali se planiraju osigurati i svi potrebni resursi za razvojne timove svih budućih aplikacija tijela državne uprave. Na javnom oblaku udomit će se korisničke usluge u PaaS modelu. Implementacijom PaaS funkcionalnosti omogućit će se prilagođavanje CDU platforme DevOps metodologiji što će u konačnici smanjiti vrijeme implementacije novih usluga i troškova održavanja te nadogradnje udomljenih usluga. Također, CDU platforma će se integrirati u European Common Data Spaces kako bi se omogućilo sigurno udomljavanje, pristup i izmjena podataka i usluga na EU razini. To će se provesti nakon što se implementiraju okviri (engl. framework) i sabirnice za razmjenu podataka u tom segmentu. Planirana sredstva potrebna su za proširenje kapaciteta CDU, za uspostavu novih funkcionalnosti, stručnu podršku za tehničko upravljanje i nadzor platforme, uključivanje novih korisnika i podršku postojećim korisnicima. 
</w:t>
      </w:r>
    </w:p>
    <w:p>
      <w:pPr>
        <w:jc w:val="both"/>
        <w:pStyle w:val="Normal"/>
      </w:pPr>
      <w:r>
        <w:rPr>
          <w:rFonts w:hAnsi="Times New Roman" w:cs="Times New Roman"/>
        </w:rPr>
        <w:t xml:space="preserve">Cilj projekta Izrada digitalne mobilne platforme za eUsluge je omogućiti građanima da na jednostavan i brz način koriste usluge državnih institucija na svojim pametnim telefonima, bilo kada i bilo gdje. Isto tako cilj je stvoriti preduvjete za integraciju postojećih i budućih servisa tijela javne uprave (eUsluge) na jednostavan i standardiziran način dostupan građanima. Provedba projekta osigurava nastavak unaprjeđenja i modernizaciju funkcioniranja javne uprave uz primjenu najboljih svjetskih praksi i tehnoloških rješenja. Planirani rashodi se odnose na vanjsku administraciju i upravljanje projektom, analizu postojećeg stanja, razvoj i uspostavu mobilne platforme i aplikacije m-Građani te edukaciju, promidžbu i vidljivost projekta. Iako je planirano da će projekt završiti do kraja 2024. godine, poslan je zahtjev Europskoj komisiji za produženjem projekta do kraja lipnja 2025. godine te se, sukladno tome, planira produžiti i ugovor za Razvoj i uspostavu mobilne platforme i aplikacije m-Građani te edukaciju. Zbog toga su planirana sredstva za provedbu projekta i u 2025. Provedbom projekta Uspostava središnjeg sustava interoperabilnosti postiže se konsolidacija temeljnih registara, integracija tih registara na Državnu sabirnicu te uspostava središnjeg portala za interoperabilnost u skladu s Europskim okvirom za interoperabilnost (EIF), kreiranje standarda i politika vezanih uz interoperabilnost, usklađivanje zakonskih okvira te potpuna primjena načela „samo jednom“ u skladu sa Strategijom digitalne Hrvatske (SDGR), kao i uspostava prekogranične razmjene podataka između država članica EU. Troškovi se u manjem djelu odnose na intelektualne usluge i promidžbu i vidljivost projekta dok se većina planiranih sredstava u okviru projekta odnosi na aktivnost - uspostava i integracija svih servisa koji su zadani u okviru SDGR-a odnosno Jedinstvenog pristupnika. Provedbom projekta Uspostava jedinstvenog kontakt centra za sve e-javne usluge za pružanje korisničke podrške uspostavlja se sustav za pružanje informacija i korisničke podrške građanima i poslovnim subjektima na jednom centraliziranom mjestu. Jedinstveni kontakt centar će transformirati način komunikacije javnih službenika s korisnicima te omogućiti veću transparentnost, s obzirom na to da će korisnici moći ocijeniti kvalitetu interakcije s javnim službenicima. Na taj način korisnici će moći izraziti svoje zadovoljstvo ili nezadovoljstvo pruženom uslugom. Na temelju dobivenih informacija radit će se na kontinuiranom poboljšanju usluga. Planirana sredstva se odnose na podmirenje troškova vanjske administracije i upravljanje projektom, na vidljivost projekta dok je najveći iznos planiran za uspostavu sustava u CDU. Na projektu Uspostava centralnog data lake repozitorija i sustava poslovne analitike su planirana sredstva za uvođenje sustava pohrane podatka zajedno s njihovim atributima te na temelju tih podataka dizajniranje različitih skladišta podataka kao ekosustava koji će omogućiti ekstrakciju, punjenje, transformaciju, skladištenje, analizu, vizualizaciju i analitiku te uvođenje analitičke organizacijske kulture kao izvora pouzdanih sažetih podataka potrebnih za proces donošenja odluka. U sklopu projekta unaprijed će se pripremiti određeni niz poslovnih pokazatelja i izvještaja (primjerice; nadzorne ploče, unaprijed pripremljena izvješća) koji će svakodnevno odražavati stanje podataka za sve grupe korisnika, od donositelja odluka do naprednih analitičara i krajnjih korisnika. Sredstva su planirana za potrebe tehničke stručne podrške za tehničko upravljanje i nadzor platforme, kao i tehničke podrške korisnicima platforme, edukaciju za korisnike te promidžba i vidljivost investicije. Sredstva su planirana i za intelektualne usluge administracije i upravljanja projektom, nabavu dodatnih licenci, kao i nabavu dodatnog potrebnog hardware-a.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NPOO.C2.3.R3-I8-T190 - elektroničke javne usluge integrirane u novu mobilnu platformu</w:t>
            </w:r>
          </w:p>
        </w:tc>
        <w:tc>
          <w:tcPr>
            <w:tcW w:w="2245.32" w:type="dxa"/>
            <w:vAlign w:val="center"/>
          </w:tcPr>
          <w:p>
            <w:pPr>
              <w:jc w:val="both"/>
              <w:pStyle w:val="CellColumn"/>
            </w:pPr>
            <w:r>
              <w:rPr>
                <w:rFonts w:hAnsi="Times New Roman" w:cs="Times New Roman"/>
              </w:rPr>
              <w:t xml:space="preserve">Integracija elektroničkih javnih usluga na mobilnu platformu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left"/>
            </w:pPr>
            <w:r>
              <w:rPr>
                <w:rFonts w:hAnsi="Times New Roman" w:cs="Times New Roman"/>
              </w:rPr>
              <w:t xml:space="preserve"/>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left"/>
            </w:pPr>
            <w:r>
              <w:rPr>
                <w:rFonts w:hAnsi="Times New Roman" w:cs="Times New Roman"/>
              </w:rPr>
              <w:t xml:space="preserve"/>
            </w:r>
          </w:p>
        </w:tc>
      </w:tr>
      <w:tr>
        <w:trPr>
          <w:cantSplit/>
        </w:trPr>
        <w:tc>
          <w:tcPr>
            <w:tcW w:w="2245.32" w:type="dxa"/>
            <w:vAlign w:val="center"/>
          </w:tcPr>
          <w:p>
            <w:pPr>
              <w:jc w:val="both"/>
              <w:pStyle w:val="CellColumn"/>
            </w:pPr>
            <w:r>
              <w:rPr>
                <w:rFonts w:hAnsi="Times New Roman" w:cs="Times New Roman"/>
              </w:rPr>
              <w:t xml:space="preserve">Broj novih korisnika  Centra dijeljenih usluga</w:t>
            </w:r>
          </w:p>
        </w:tc>
        <w:tc>
          <w:tcPr>
            <w:tcW w:w="2245.32" w:type="dxa"/>
            <w:vAlign w:val="center"/>
          </w:tcPr>
          <w:p>
            <w:pPr>
              <w:jc w:val="both"/>
              <w:pStyle w:val="CellColumn"/>
            </w:pPr>
            <w:r>
              <w:rPr>
                <w:rFonts w:hAnsi="Times New Roman" w:cs="Times New Roman"/>
              </w:rPr>
              <w:t xml:space="preserve">Uključivanje novih korisnika na sustav CDU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350</w:t>
            </w:r>
          </w:p>
        </w:tc>
        <w:tc>
          <w:tcPr>
            <w:tcW w:w="918.54" w:type="dxa"/>
            <w:vAlign w:val="center"/>
          </w:tcPr>
          <w:p>
            <w:pPr>
              <w:jc w:val="both"/>
              <w:pStyle w:val="CellColumn"/>
            </w:pPr>
            <w:r>
              <w:rPr>
                <w:rFonts w:hAnsi="Times New Roman" w:cs="Times New Roman"/>
              </w:rPr>
              <w:t xml:space="preserve">450</w:t>
            </w:r>
          </w:p>
        </w:tc>
        <w:tc>
          <w:tcPr>
            <w:tcW w:w="918.54" w:type="dxa"/>
            <w:vAlign w:val="center"/>
          </w:tcPr>
          <w:p>
            <w:pPr>
              <w:jc w:val="both"/>
              <w:pStyle w:val="CellColumn"/>
            </w:pPr>
            <w:r>
              <w:rPr>
                <w:rFonts w:hAnsi="Times New Roman" w:cs="Times New Roman"/>
              </w:rPr>
              <w:t xml:space="preserve">500</w:t>
            </w:r>
          </w:p>
        </w:tc>
      </w:tr>
      <w:tr>
        <w:trPr>
          <w:cantSplit/>
        </w:trPr>
        <w:tc>
          <w:tcPr>
            <w:tcW w:w="2245.32" w:type="dxa"/>
            <w:vAlign w:val="center"/>
          </w:tcPr>
          <w:p>
            <w:pPr>
              <w:jc w:val="both"/>
              <w:pStyle w:val="CellColumn"/>
            </w:pPr>
            <w:r>
              <w:rPr>
                <w:rFonts w:hAnsi="Times New Roman" w:cs="Times New Roman"/>
              </w:rPr>
              <w:t xml:space="preserve">Broj novih čvorišta</w:t>
            </w:r>
          </w:p>
        </w:tc>
        <w:tc>
          <w:tcPr>
            <w:tcW w:w="2245.32" w:type="dxa"/>
            <w:vAlign w:val="center"/>
          </w:tcPr>
          <w:p>
            <w:pPr>
              <w:jc w:val="both"/>
              <w:pStyle w:val="CellColumn"/>
            </w:pPr>
            <w:r>
              <w:rPr>
                <w:rFonts w:hAnsi="Times New Roman" w:cs="Times New Roman"/>
              </w:rPr>
              <w:t xml:space="preserve">Temeljem studije definiran je potreban broj od 10 čvorišta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left"/>
            </w:pPr>
            <w:r>
              <w:rPr>
                <w:rFonts w:hAnsi="Times New Roman" w:cs="Times New Roman"/>
              </w:rPr>
              <w:t xml:space="preserve"/>
            </w:r>
          </w:p>
        </w:tc>
      </w:tr>
      <w:tr>
        <w:trPr>
          <w:cantSplit/>
        </w:trPr>
        <w:tc>
          <w:tcPr>
            <w:tcW w:w="2245.32" w:type="dxa"/>
            <w:vAlign w:val="center"/>
          </w:tcPr>
          <w:p>
            <w:pPr>
              <w:jc w:val="both"/>
              <w:pStyle w:val="CellColumn"/>
            </w:pPr>
            <w:r>
              <w:rPr>
                <w:rFonts w:hAnsi="Times New Roman" w:cs="Times New Roman"/>
              </w:rPr>
              <w:t xml:space="preserve">Broj novospojenih lokacija</w:t>
            </w:r>
          </w:p>
        </w:tc>
        <w:tc>
          <w:tcPr>
            <w:tcW w:w="2245.32" w:type="dxa"/>
            <w:vAlign w:val="center"/>
          </w:tcPr>
          <w:p>
            <w:pPr>
              <w:jc w:val="both"/>
              <w:pStyle w:val="CellColumn"/>
            </w:pPr>
            <w:r>
              <w:rPr>
                <w:rFonts w:hAnsi="Times New Roman" w:cs="Times New Roman"/>
              </w:rPr>
              <w:t xml:space="preserve">Svi postojeći korisnici trebaju migrirati svoje mrežne linkove u pristupnom dijelu na novouspostavljeni jezgreni dio mreže državne informacijske infrastrukture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left"/>
            </w:pPr>
            <w:r>
              <w:rPr>
                <w:rFonts w:hAnsi="Times New Roman" w:cs="Times New Roman"/>
              </w:rPr>
              <w:t xml:space="preserve"/>
            </w:r>
          </w:p>
        </w:tc>
      </w:tr>
      <w:tr>
        <w:trPr>
          <w:cantSplit/>
        </w:trPr>
        <w:tc>
          <w:tcPr>
            <w:tcW w:w="2245.32" w:type="dxa"/>
            <w:vAlign w:val="center"/>
          </w:tcPr>
          <w:p>
            <w:pPr>
              <w:jc w:val="both"/>
              <w:pStyle w:val="CellColumn"/>
            </w:pPr>
            <w:r>
              <w:rPr>
                <w:rFonts w:hAnsi="Times New Roman" w:cs="Times New Roman"/>
              </w:rPr>
              <w:t xml:space="preserve">Integracija 21 SDG usluge na OOTS</w:t>
            </w:r>
          </w:p>
        </w:tc>
        <w:tc>
          <w:tcPr>
            <w:tcW w:w="2245.32" w:type="dxa"/>
            <w:vAlign w:val="center"/>
          </w:tcPr>
          <w:p>
            <w:pPr>
              <w:jc w:val="both"/>
              <w:pStyle w:val="CellColumn"/>
            </w:pPr>
            <w:r>
              <w:rPr>
                <w:rFonts w:hAnsi="Times New Roman" w:cs="Times New Roman"/>
              </w:rPr>
              <w:t xml:space="preserve">Integracija 21 elektroničke usluge sukladno Prilogu 2 Uredbe o uspostavi jedinstvenog digitalnog pristupnika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21</w:t>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r>
      <w:tr>
        <w:trPr>
          <w:cantSplit/>
        </w:trPr>
        <w:tc>
          <w:tcPr>
            <w:tcW w:w="2245.32" w:type="dxa"/>
            <w:vAlign w:val="center"/>
          </w:tcPr>
          <w:p>
            <w:pPr>
              <w:jc w:val="both"/>
              <w:pStyle w:val="CellColumn"/>
            </w:pPr>
            <w:r>
              <w:rPr>
                <w:rFonts w:hAnsi="Times New Roman" w:cs="Times New Roman"/>
              </w:rPr>
              <w:t xml:space="preserve">Projekti koji se financiraju iz bespovratnih sredstava</w:t>
            </w:r>
          </w:p>
        </w:tc>
        <w:tc>
          <w:tcPr>
            <w:tcW w:w="2245.32" w:type="dxa"/>
            <w:vAlign w:val="center"/>
          </w:tcPr>
          <w:p>
            <w:pPr>
              <w:jc w:val="both"/>
              <w:pStyle w:val="CellColumn"/>
            </w:pPr>
            <w:r>
              <w:rPr>
                <w:rFonts w:hAnsi="Times New Roman" w:cs="Times New Roman"/>
              </w:rPr>
              <w:t xml:space="preserve">Investicije/Ulaganja odobreni kroz NPOO</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23</w:t>
            </w:r>
          </w:p>
        </w:tc>
        <w:tc>
          <w:tcPr>
            <w:tcW w:w="918.54" w:type="dxa"/>
            <w:vAlign w:val="center"/>
          </w:tcPr>
          <w:p>
            <w:pPr>
              <w:jc w:val="both"/>
              <w:pStyle w:val="CellColumn"/>
            </w:pPr>
            <w:r>
              <w:rPr>
                <w:rFonts w:hAnsi="Times New Roman" w:cs="Times New Roman"/>
              </w:rPr>
              <w:t xml:space="preserve">Projektna izvješća</w:t>
            </w:r>
          </w:p>
        </w:tc>
        <w:tc>
          <w:tcPr>
            <w:tcW w:w="918.54" w:type="dxa"/>
            <w:vAlign w:val="center"/>
          </w:tcPr>
          <w:p>
            <w:pPr>
              <w:jc w:val="both"/>
              <w:pStyle w:val="CellColumn"/>
            </w:pPr>
            <w:r>
              <w:rPr>
                <w:rFonts w:hAnsi="Times New Roman" w:cs="Times New Roman"/>
              </w:rPr>
              <w:t xml:space="preserve">17</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left"/>
            </w:pPr>
            <w:r>
              <w:rPr>
                <w:rFonts w:hAnsi="Times New Roman" w:cs="Times New Roman"/>
              </w:rPr>
              <w:t xml:space="preserve"/>
            </w:r>
          </w:p>
        </w:tc>
      </w:tr>
    </w:tbl>
    <w:p>
      <w:pPr>
        <w:jc w:val="left"/>
      </w:pPr>
      <w:r>
        <w:rPr>
          <w:rFonts w:hAnsi="Times New Roman" w:cs="Times New Roman"/>
        </w:rPr>
        <w:t xml:space="preserve"/>
      </w:r>
    </w:p>
    <w:p>
      <w:pPr>
        <w:jc w:val="left"/>
        <w:pStyle w:val="Heading3"/>
      </w:pPr>
      <w:r>
        <w:rPr>
          <w:rFonts w:hAnsi="Times New Roman" w:cs="Times New Roman"/>
        </w:rPr>
        <w:t xml:space="preserve">2414 INFORMACIJSKI SUSTAV JAVNE SLUŽBENE DOKUMENTACIJE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2414-INFORMACIJSKI SUSTAV JAVNE SLUŽBENE DOKUMENTACIJE</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34.957.570</w:t>
            </w:r>
          </w:p>
        </w:tc>
        <w:tc>
          <w:tcPr>
            <w:tcW w:w="1632.96" w:type="dxa"/>
            <w:vAlign w:val="center"/>
          </w:tcPr>
          <w:p>
            <w:pPr>
              <w:jc w:val="both"/>
              <w:pStyle w:val="CellColumn"/>
            </w:pPr>
            <w:r>
              <w:rPr>
                <w:rFonts w:hAnsi="Times New Roman" w:cs="Times New Roman"/>
              </w:rPr>
              <w:t xml:space="preserve">38.099.940</w:t>
            </w:r>
          </w:p>
        </w:tc>
        <w:tc>
          <w:tcPr>
            <w:tcW w:w="1632.96" w:type="dxa"/>
            <w:vAlign w:val="center"/>
          </w:tcPr>
          <w:p>
            <w:pPr>
              <w:jc w:val="both"/>
              <w:pStyle w:val="CellColumn"/>
            </w:pPr>
            <w:r>
              <w:rPr>
                <w:rFonts w:hAnsi="Times New Roman" w:cs="Times New Roman"/>
              </w:rPr>
              <w:t xml:space="preserve">47.169.794</w:t>
            </w:r>
          </w:p>
        </w:tc>
        <w:tc>
          <w:tcPr>
            <w:tcW w:w="1632.96" w:type="dxa"/>
            <w:vAlign w:val="center"/>
          </w:tcPr>
          <w:p>
            <w:pPr>
              <w:jc w:val="both"/>
              <w:pStyle w:val="CellColumn"/>
            </w:pPr>
            <w:r>
              <w:rPr>
                <w:rFonts w:hAnsi="Times New Roman" w:cs="Times New Roman"/>
              </w:rPr>
              <w:t xml:space="preserve">82.493.195</w:t>
            </w:r>
          </w:p>
        </w:tc>
        <w:tc>
          <w:tcPr>
            <w:tcW w:w="510.3" w:type="dxa"/>
            <w:vAlign w:val="center"/>
          </w:tcPr>
          <w:p>
            <w:pPr>
              <w:jc w:val="both"/>
              <w:pStyle w:val="CellColumn"/>
            </w:pPr>
            <w:r>
              <w:rPr>
                <w:rFonts w:hAnsi="Times New Roman" w:cs="Times New Roman"/>
              </w:rPr>
              <w:t xml:space="preserve">109,0</w:t>
            </w:r>
          </w:p>
        </w:tc>
      </w:tr>
    </w:tbl>
    <w:p>
      <w:pPr>
        <w:jc w:val="left"/>
      </w:pPr>
      <w:r>
        <w:rPr>
          <w:rFonts w:hAnsi="Times New Roman" w:cs="Times New Roman"/>
        </w:rPr>
        <w:t xml:space="preserve"/>
      </w:r>
    </w:p>
    <w:p>
      <w:pPr>
        <w:jc w:val="left"/>
        <w:pStyle w:val="Heading4"/>
      </w:pPr>
      <w:r>
        <w:rPr>
          <w:rFonts w:hAnsi="Times New Roman" w:cs="Times New Roman"/>
        </w:rPr>
        <w:t xml:space="preserve">A757012 RAČUNALNO - KOMUNIKACIJSKA MREŽA TIJELA DRŽAVNE UPRAVE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Odluka Vlade RH o uspostavi i pružanju usluga zajedničkih servisa sustava računalno-komunikacijske mreže javnopravnih tijela.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A757012-RAČUNALNO - KOMUNIKACIJSKA MREŽA TIJELA DRŽAVNE UPRAVE</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768.255</w:t>
            </w:r>
          </w:p>
        </w:tc>
        <w:tc>
          <w:tcPr>
            <w:tcW w:w="1632.96" w:type="dxa"/>
            <w:vAlign w:val="center"/>
          </w:tcPr>
          <w:p>
            <w:pPr>
              <w:jc w:val="both"/>
              <w:pStyle w:val="CellColumn"/>
            </w:pPr>
            <w:r>
              <w:rPr>
                <w:rFonts w:hAnsi="Times New Roman" w:cs="Times New Roman"/>
              </w:rPr>
              <w:t xml:space="preserve">964.872</w:t>
            </w:r>
          </w:p>
        </w:tc>
        <w:tc>
          <w:tcPr>
            <w:tcW w:w="1632.96" w:type="dxa"/>
            <w:vAlign w:val="center"/>
          </w:tcPr>
          <w:p>
            <w:pPr>
              <w:jc w:val="both"/>
              <w:pStyle w:val="CellColumn"/>
            </w:pPr>
            <w:r>
              <w:rPr>
                <w:rFonts w:hAnsi="Times New Roman" w:cs="Times New Roman"/>
              </w:rPr>
              <w:t xml:space="preserve">950.000</w:t>
            </w:r>
          </w:p>
        </w:tc>
        <w:tc>
          <w:tcPr>
            <w:tcW w:w="1632.96" w:type="dxa"/>
            <w:vAlign w:val="center"/>
          </w:tcPr>
          <w:p>
            <w:pPr>
              <w:jc w:val="both"/>
              <w:pStyle w:val="CellColumn"/>
            </w:pPr>
            <w:r>
              <w:rPr>
                <w:rFonts w:hAnsi="Times New Roman" w:cs="Times New Roman"/>
              </w:rPr>
              <w:t xml:space="preserve">950.000</w:t>
            </w:r>
          </w:p>
        </w:tc>
        <w:tc>
          <w:tcPr>
            <w:tcW w:w="510.3" w:type="dxa"/>
            <w:vAlign w:val="center"/>
          </w:tcPr>
          <w:p>
            <w:pPr>
              <w:jc w:val="both"/>
              <w:pStyle w:val="CellColumn"/>
            </w:pPr>
            <w:r>
              <w:rPr>
                <w:rFonts w:hAnsi="Times New Roman" w:cs="Times New Roman"/>
              </w:rPr>
              <w:t xml:space="preserve">125,6</w:t>
            </w:r>
          </w:p>
        </w:tc>
      </w:tr>
    </w:tbl>
    <w:p>
      <w:pPr>
        <w:jc w:val="left"/>
      </w:pPr>
      <w:r>
        <w:rPr>
          <w:rFonts w:hAnsi="Times New Roman" w:cs="Times New Roman"/>
        </w:rPr>
        <w:t xml:space="preserve"/>
      </w:r>
    </w:p>
    <w:p>
      <w:pPr>
        <w:jc w:val="both"/>
        <w:pStyle w:val="Normal"/>
      </w:pPr>
      <w:r>
        <w:rPr>
          <w:rFonts w:hAnsi="Times New Roman" w:cs="Times New Roman"/>
        </w:rPr>
        <w:t xml:space="preserve">Osnovna svrha Računalno-komunikacijske mreže - HITRONet je integriranje državnih informacijskih resursa kroz sigurnu privatnu širokopojasnu infrastrukturu, što obuhvaća povezivanje središnjih i udaljenih lokacija javnopravnih tijela na zajedničku podatkovnu mrežu radi efikasnijeg i jeftinijeg rada tijela državne uprave i razmjene elektroničkih podataka. Za redovito funkcioniranje Računalno-komunikacijske mreže tijela državne uprave - HITRONet potreban je najam kapaciteta i usluga za spajanje preko 600 lokacija diljem Republike Hrvatske. Sredstva u iznosu 964.872 € za 2025. te po 950.000 € za 2026. i 2027. su planirana za uslugu operativnog vođenja mreže HITRONet (nadzor, upravljanje, održavanje, optimizacija performansi i sl.). Planirana sredstva za 2025. su veća za 196.617 € u odnosu na Tekući plan 2024., zbog porasta cijena usluga (najam komunikacijskih linkova, usluga održavanja IKT opreme, pojačanje kibernetičke sigurnosti i dr.).</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Pokazatelj rezultata 
</w:t>
            </w:r>
          </w:p>
          <w:p>
            <w:pPr>
              <w:jc w:val="both"/>
              <w:pStyle w:val="CellColumn"/>
            </w:pPr>
            <w:r>
              <w:rPr>
                <w:rFonts w:hAnsi="Times New Roman" w:cs="Times New Roman"/>
              </w:rPr>
              <w:t xml:space="preserve">
</w:t>
            </w:r>
          </w:p>
          <w:p>
            <w:pPr>
              <w:jc w:val="both"/>
              <w:pStyle w:val="CellColumn"/>
            </w:pPr>
            <w:r>
              <w:rPr>
                <w:rFonts w:hAnsi="Times New Roman" w:cs="Times New Roman"/>
              </w:rPr>
              <w:t xml:space="preserve">Ostvaren Indeks kakvoće usluge mreže (SLA)</w:t>
            </w:r>
          </w:p>
        </w:tc>
        <w:tc>
          <w:tcPr>
            <w:tcW w:w="2245.32" w:type="dxa"/>
            <w:vAlign w:val="center"/>
          </w:tcPr>
          <w:p>
            <w:pPr>
              <w:jc w:val="both"/>
              <w:pStyle w:val="CellColumn"/>
            </w:pPr>
            <w:r>
              <w:rPr>
                <w:rFonts w:hAnsi="Times New Roman" w:cs="Times New Roman"/>
              </w:rPr>
              <w:t xml:space="preserve">Indeks kakvoće usluge mreže (SLA) je pokazatelj kvalitete mreže. On uzima u obzir održavanje visoke kakvoće usluge, skraćivanje vremena pronalaženja kvara te određivanje odgovornosti u slučaju nastanka incidenta (poslovne štete)  i iskazuje se u postotku vremena u kojem je mreža imala ostvarenu povezivost</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98,5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99,9</w:t>
            </w:r>
          </w:p>
        </w:tc>
        <w:tc>
          <w:tcPr>
            <w:tcW w:w="918.54" w:type="dxa"/>
            <w:vAlign w:val="center"/>
          </w:tcPr>
          <w:p>
            <w:pPr>
              <w:jc w:val="both"/>
              <w:pStyle w:val="CellColumn"/>
            </w:pPr>
            <w:r>
              <w:rPr>
                <w:rFonts w:hAnsi="Times New Roman" w:cs="Times New Roman"/>
              </w:rPr>
              <w:t xml:space="preserve">99,9</w:t>
            </w:r>
          </w:p>
        </w:tc>
        <w:tc>
          <w:tcPr>
            <w:tcW w:w="918.54" w:type="dxa"/>
            <w:vAlign w:val="center"/>
          </w:tcPr>
          <w:p>
            <w:pPr>
              <w:jc w:val="both"/>
              <w:pStyle w:val="CellColumn"/>
            </w:pPr>
            <w:r>
              <w:rPr>
                <w:rFonts w:hAnsi="Times New Roman" w:cs="Times New Roman"/>
              </w:rPr>
              <w:t xml:space="preserve">99,9</w:t>
            </w:r>
          </w:p>
        </w:tc>
      </w:tr>
    </w:tbl>
    <w:p>
      <w:pPr>
        <w:jc w:val="left"/>
      </w:pPr>
      <w:r>
        <w:rPr>
          <w:rFonts w:hAnsi="Times New Roman" w:cs="Times New Roman"/>
        </w:rPr>
        <w:t xml:space="preserve"/>
      </w:r>
    </w:p>
    <w:p>
      <w:pPr>
        <w:jc w:val="left"/>
        <w:pStyle w:val="Heading4"/>
      </w:pPr>
      <w:r>
        <w:rPr>
          <w:rFonts w:hAnsi="Times New Roman" w:cs="Times New Roman"/>
        </w:rPr>
        <w:t xml:space="preserve">A830019 USPOSTAVA I ODRŽAVANJE USLUGE e-GRAĐANI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državnoj informacijskoj infrastrukturi (članci 16. i 18.), Uredba o organizacijskim i tehničkim standardima za povezivanje na državnu informacijsku infrastrukturu, Odluka o pokretanju projekta e-Građani (točka 5.), Odluka o pokretanju projekta e-Poslovanje (točke IV., V. i VI.), Sporazum o obavljanju poslova operativnog vođenja i održavanja Nacionalnog identifikacijskog i autentifikacijskog sustava (NIAS) unutar sustava e-Građani i platforme e-Poslovanje, Sporazum o obavljanju poslova operativnog vođenja i održavanja sustava Korisničkog pretinca unutar sustava e-Građani i platforme e-Poslovanje, Ugovor o dodjeli bespovratnih sredstava za Projekt e-Poslovanje (oznake: UP.04.1.1.16.0001) iz Europskog socijalnog fonda u sklopu Operativnog programa „Učinkoviti ljudski potencijali“ 2014.-2020.</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A830019-USPOSTAVA I ODRŽAVANJE USLUGE e-GRAĐANI</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2.374.603</w:t>
            </w:r>
          </w:p>
        </w:tc>
        <w:tc>
          <w:tcPr>
            <w:tcW w:w="1632.96" w:type="dxa"/>
            <w:vAlign w:val="center"/>
          </w:tcPr>
          <w:p>
            <w:pPr>
              <w:jc w:val="both"/>
              <w:pStyle w:val="CellColumn"/>
            </w:pPr>
            <w:r>
              <w:rPr>
                <w:rFonts w:hAnsi="Times New Roman" w:cs="Times New Roman"/>
              </w:rPr>
              <w:t xml:space="preserve">3.546.000</w:t>
            </w:r>
          </w:p>
        </w:tc>
        <w:tc>
          <w:tcPr>
            <w:tcW w:w="1632.96" w:type="dxa"/>
            <w:vAlign w:val="center"/>
          </w:tcPr>
          <w:p>
            <w:pPr>
              <w:jc w:val="both"/>
              <w:pStyle w:val="CellColumn"/>
            </w:pPr>
            <w:r>
              <w:rPr>
                <w:rFonts w:hAnsi="Times New Roman" w:cs="Times New Roman"/>
              </w:rPr>
              <w:t xml:space="preserve">4.140.000</w:t>
            </w:r>
          </w:p>
        </w:tc>
        <w:tc>
          <w:tcPr>
            <w:tcW w:w="1632.96" w:type="dxa"/>
            <w:vAlign w:val="center"/>
          </w:tcPr>
          <w:p>
            <w:pPr>
              <w:jc w:val="both"/>
              <w:pStyle w:val="CellColumn"/>
            </w:pPr>
            <w:r>
              <w:rPr>
                <w:rFonts w:hAnsi="Times New Roman" w:cs="Times New Roman"/>
              </w:rPr>
              <w:t xml:space="preserve">4.240.000</w:t>
            </w:r>
          </w:p>
        </w:tc>
        <w:tc>
          <w:tcPr>
            <w:tcW w:w="510.3" w:type="dxa"/>
            <w:vAlign w:val="center"/>
          </w:tcPr>
          <w:p>
            <w:pPr>
              <w:jc w:val="both"/>
              <w:pStyle w:val="CellColumn"/>
            </w:pPr>
            <w:r>
              <w:rPr>
                <w:rFonts w:hAnsi="Times New Roman" w:cs="Times New Roman"/>
              </w:rPr>
              <w:t xml:space="preserve">149,3</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na ovoj aktivnosti su potrebna za osiguravanje redovitog funkcioniranja cjelokupnog sustava e-Građani, koji je nadograđen platformom za e-Poslovanje, kao i za godišnje održavanje sustava te proširenja kroz uključivanje novih javnih e-usluga te e-poruka s personaliziranim obavijestima i informacijama, koje tijela i institucije šalju građanima i poslovnim korisnicima u njihov pretinac putem sustava Korisnički pretinac. Ministarstvo pravosuđa, uprave i digitalne transformacije kao tijelo nadležno za upravljanje državnom informacijskom infrastrukturom, za te svrhe planira potrebna sredstva kako bi, u skladu sa svojim nadležnostima, moglo na propisani način regulirati poslovne odnose s Financijskom agencijom (FINA) i Agencijom za podršku informacijskim sustavima i informacijskim tehnologijama (APIS IT), kao pružateljima dijeljenih usluga kojima su povjereni poslovi operativnog vođenja i održavanja komponenti koji čine sustav e-Građani. Planirana sredstva su namijenjena za financiranje rada sustava, a obuhvaćaju poslove operativnog vođenja i održavanja svih njegovih komponenti od Nacionalnog identifikacijskog i autentifikacijskog sustava (NIAS), sustava za izdavanje vjerodajnica ePass i mToken za e-Građane, HR eIDAS čvora, sustava e-Ovlaštenja s modulima e-Zastupanje i e-Punomoći, autorizacijskog sustava XACML za kontrolu pristupa i upravljanje pristupnim pravima, za rad Kontakt centra za e-Građane i e-Poslovanje, za uključivanje novih e-usluga i vjerodajnica za elektroničku identifikaciju i prekogranično povezivanje nacionalnog HR eIDAS čvora s čvorovima drugih država članica, za operativno vođenje i održavanje objedinjenog sustava Korisničkog pretinca (KP) za građane i poslovne subjekte, mobilne aplikacije mPretinac za građane i poslovne korisnike na mobilnim platformama Android, iOS i Huawei, zajedničke komponente Navigacijska traka (NT) u svim e-uslugama, web aplikacije za Slanje e-Poruka u KP (KPslaP) namijenjene manjim i tehnološki nedovoljno opremljenim tijelima i institucijama, aplikacije za vođenje Registra e-usluga i e-poruka (RegUP) i Izvještajnog statističkog sustava e-Građani i e-Poslovanje (BI e-Građani) te za uključivanje novih e-poruka u sustav Korisničkog pretinca koji je namijenjen građanima i poslovnim subjektima. Pojedine od navedenih komponenti su funkcionalno nadograđene u svrhu provedbe dvije mjere iz Nacionalnog programa za oporavak i otpornost (NPOO) putem kojeg se financira trošak tih nadogradnji, čime se povećala njihova ukupna vrijednost, što predstavlja uvećanje osnovice kod izračuna troškova godišnjeg održavanja. Temeljem svega navedenog su planirana potrebna sredstva za 2025., a u sljedećim godinama se očekuje daljnje proširenje ovog sustava kao i njegovih pojedinih komponenti, kroz razvoj i uvođenje novih funkcionalnosti, uključivanje novih e-usluga, e-poruka i vjerodajnica te očekivano povećanje ukupnog broja korisnika sustava, u skladu s čime je planirano i odgovarajuće povećanje sredstava u projekcijama za 2026. i 2027. za osiguranje rada cijelog sustava. Planirana sredstva na ovoj aktivnosti iznose 3.546.000 € za 2025. i veća su za 1.171.397 € u odnosu na Tekući plan 2024.</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e-usluga u sustavu e-Građani i na platformi e-Poslovanje</w:t>
            </w:r>
          </w:p>
        </w:tc>
        <w:tc>
          <w:tcPr>
            <w:tcW w:w="2245.32" w:type="dxa"/>
            <w:vAlign w:val="center"/>
          </w:tcPr>
          <w:p>
            <w:pPr>
              <w:jc w:val="both"/>
              <w:pStyle w:val="CellColumn"/>
            </w:pPr>
            <w:r>
              <w:rPr>
                <w:rFonts w:hAnsi="Times New Roman" w:cs="Times New Roman"/>
              </w:rPr>
              <w:t xml:space="preserve">Broj elektroničkih usluga dostupnih korisnicima putem sustava e-Građani</w:t>
            </w:r>
          </w:p>
        </w:tc>
        <w:tc>
          <w:tcPr>
            <w:tcW w:w="918.54" w:type="dxa"/>
            <w:vAlign w:val="center"/>
          </w:tcPr>
          <w:p>
            <w:pPr>
              <w:jc w:val="both"/>
              <w:pStyle w:val="CellColumn"/>
            </w:pPr>
            <w:r>
              <w:rPr>
                <w:rFonts w:hAnsi="Times New Roman" w:cs="Times New Roman"/>
              </w:rPr>
              <w:t xml:space="preserve">broj e-usluga</w:t>
            </w:r>
          </w:p>
        </w:tc>
        <w:tc>
          <w:tcPr>
            <w:tcW w:w="918.54" w:type="dxa"/>
            <w:vAlign w:val="center"/>
          </w:tcPr>
          <w:p>
            <w:pPr>
              <w:jc w:val="both"/>
              <w:pStyle w:val="CellColumn"/>
            </w:pPr>
            <w:r>
              <w:rPr>
                <w:rFonts w:hAnsi="Times New Roman" w:cs="Times New Roman"/>
              </w:rPr>
              <w:t xml:space="preserve">104</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120</w:t>
            </w:r>
          </w:p>
        </w:tc>
        <w:tc>
          <w:tcPr>
            <w:tcW w:w="918.54" w:type="dxa"/>
            <w:vAlign w:val="center"/>
          </w:tcPr>
          <w:p>
            <w:pPr>
              <w:jc w:val="both"/>
              <w:pStyle w:val="CellColumn"/>
            </w:pPr>
            <w:r>
              <w:rPr>
                <w:rFonts w:hAnsi="Times New Roman" w:cs="Times New Roman"/>
              </w:rPr>
              <w:t xml:space="preserve">140</w:t>
            </w:r>
          </w:p>
        </w:tc>
        <w:tc>
          <w:tcPr>
            <w:tcW w:w="918.54" w:type="dxa"/>
            <w:vAlign w:val="center"/>
          </w:tcPr>
          <w:p>
            <w:pPr>
              <w:jc w:val="both"/>
              <w:pStyle w:val="CellColumn"/>
            </w:pPr>
            <w:r>
              <w:rPr>
                <w:rFonts w:hAnsi="Times New Roman" w:cs="Times New Roman"/>
              </w:rPr>
              <w:t xml:space="preserve">160</w:t>
            </w:r>
          </w:p>
        </w:tc>
      </w:tr>
      <w:tr>
        <w:trPr>
          <w:cantSplit/>
        </w:trPr>
        <w:tc>
          <w:tcPr>
            <w:tcW w:w="2245.32" w:type="dxa"/>
            <w:vAlign w:val="center"/>
          </w:tcPr>
          <w:p>
            <w:pPr>
              <w:jc w:val="both"/>
              <w:pStyle w:val="CellColumn"/>
            </w:pPr>
            <w:r>
              <w:rPr>
                <w:rFonts w:hAnsi="Times New Roman" w:cs="Times New Roman"/>
              </w:rPr>
              <w:t xml:space="preserve">Broj korisnika sustava e-Građani i platforme e-Poslovanje</w:t>
            </w:r>
          </w:p>
        </w:tc>
        <w:tc>
          <w:tcPr>
            <w:tcW w:w="2245.32" w:type="dxa"/>
            <w:vAlign w:val="center"/>
          </w:tcPr>
          <w:p>
            <w:pPr>
              <w:jc w:val="both"/>
              <w:pStyle w:val="CellColumn"/>
            </w:pPr>
            <w:r>
              <w:rPr>
                <w:rFonts w:hAnsi="Times New Roman" w:cs="Times New Roman"/>
              </w:rPr>
              <w:t xml:space="preserve">Broj jedinstvenih korisnika e-usluga unutar sustava e-Građani</w:t>
            </w:r>
          </w:p>
        </w:tc>
        <w:tc>
          <w:tcPr>
            <w:tcW w:w="918.54" w:type="dxa"/>
            <w:vAlign w:val="center"/>
          </w:tcPr>
          <w:p>
            <w:pPr>
              <w:jc w:val="both"/>
              <w:pStyle w:val="CellColumn"/>
            </w:pPr>
            <w:r>
              <w:rPr>
                <w:rFonts w:hAnsi="Times New Roman" w:cs="Times New Roman"/>
              </w:rPr>
              <w:t xml:space="preserve">broj korisnika</w:t>
            </w:r>
          </w:p>
        </w:tc>
        <w:tc>
          <w:tcPr>
            <w:tcW w:w="918.54" w:type="dxa"/>
            <w:vAlign w:val="center"/>
          </w:tcPr>
          <w:p>
            <w:pPr>
              <w:jc w:val="both"/>
              <w:pStyle w:val="CellColumn"/>
            </w:pPr>
            <w:r>
              <w:rPr>
                <w:rFonts w:hAnsi="Times New Roman" w:cs="Times New Roman"/>
              </w:rPr>
              <w:t xml:space="preserve">2.040.000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2.170.000</w:t>
            </w:r>
          </w:p>
        </w:tc>
        <w:tc>
          <w:tcPr>
            <w:tcW w:w="918.54" w:type="dxa"/>
            <w:vAlign w:val="center"/>
          </w:tcPr>
          <w:p>
            <w:pPr>
              <w:jc w:val="both"/>
              <w:pStyle w:val="CellColumn"/>
            </w:pPr>
            <w:r>
              <w:rPr>
                <w:rFonts w:hAnsi="Times New Roman" w:cs="Times New Roman"/>
              </w:rPr>
              <w:t xml:space="preserve">2.300.000</w:t>
            </w:r>
          </w:p>
        </w:tc>
        <w:tc>
          <w:tcPr>
            <w:tcW w:w="918.54" w:type="dxa"/>
            <w:vAlign w:val="center"/>
          </w:tcPr>
          <w:p>
            <w:pPr>
              <w:jc w:val="both"/>
              <w:pStyle w:val="CellColumn"/>
            </w:pPr>
            <w:r>
              <w:rPr>
                <w:rFonts w:hAnsi="Times New Roman" w:cs="Times New Roman"/>
              </w:rPr>
              <w:t xml:space="preserve">2.450.000</w:t>
            </w:r>
          </w:p>
        </w:tc>
      </w:tr>
    </w:tbl>
    <w:p>
      <w:pPr>
        <w:jc w:val="left"/>
      </w:pPr>
      <w:r>
        <w:rPr>
          <w:rFonts w:hAnsi="Times New Roman" w:cs="Times New Roman"/>
        </w:rPr>
        <w:t xml:space="preserve"/>
      </w:r>
    </w:p>
    <w:p>
      <w:pPr>
        <w:jc w:val="left"/>
        <w:pStyle w:val="Heading4"/>
      </w:pPr>
      <w:r>
        <w:rPr>
          <w:rFonts w:hAnsi="Times New Roman" w:cs="Times New Roman"/>
        </w:rPr>
        <w:t xml:space="preserve">A912008 KIBERNETIČKA SIGURNOST</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kibernetičkoj sigurnosti, Nacionalna strategija kibernetičke sigurnosti, Akcijski plan za provedbu Nacionalne strategije kibernetičke sigurnosti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A912008-KIBERNETIČKA SIGURNOST</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29.334</w:t>
            </w:r>
          </w:p>
        </w:tc>
        <w:tc>
          <w:tcPr>
            <w:tcW w:w="1632.96" w:type="dxa"/>
            <w:vAlign w:val="center"/>
          </w:tcPr>
          <w:p>
            <w:pPr>
              <w:jc w:val="both"/>
              <w:pStyle w:val="CellColumn"/>
            </w:pPr>
            <w:r>
              <w:rPr>
                <w:rFonts w:hAnsi="Times New Roman" w:cs="Times New Roman"/>
              </w:rPr>
              <w:t xml:space="preserve">1.836.000</w:t>
            </w:r>
          </w:p>
        </w:tc>
        <w:tc>
          <w:tcPr>
            <w:tcW w:w="1632.96" w:type="dxa"/>
            <w:vAlign w:val="center"/>
          </w:tcPr>
          <w:p>
            <w:pPr>
              <w:jc w:val="both"/>
              <w:pStyle w:val="CellColumn"/>
            </w:pPr>
            <w:r>
              <w:rPr>
                <w:rFonts w:hAnsi="Times New Roman" w:cs="Times New Roman"/>
              </w:rPr>
              <w:t xml:space="preserve">3.040.000</w:t>
            </w:r>
          </w:p>
        </w:tc>
        <w:tc>
          <w:tcPr>
            <w:tcW w:w="1632.96" w:type="dxa"/>
            <w:vAlign w:val="center"/>
          </w:tcPr>
          <w:p>
            <w:pPr>
              <w:jc w:val="both"/>
              <w:pStyle w:val="CellColumn"/>
            </w:pPr>
            <w:r>
              <w:rPr>
                <w:rFonts w:hAnsi="Times New Roman" w:cs="Times New Roman"/>
              </w:rPr>
              <w:t xml:space="preserve">2.540.000</w:t>
            </w:r>
          </w:p>
        </w:tc>
        <w:tc>
          <w:tcPr>
            <w:tcW w:w="510.3" w:type="dxa"/>
            <w:vAlign w:val="center"/>
          </w:tcPr>
          <w:p>
            <w:pPr>
              <w:jc w:val="both"/>
              <w:pStyle w:val="CellColumn"/>
            </w:pPr>
            <w:r>
              <w:rPr>
                <w:rFonts w:hAnsi="Times New Roman" w:cs="Times New Roman"/>
              </w:rPr>
              <w:t xml:space="preserve">6258,9</w:t>
            </w:r>
          </w:p>
        </w:tc>
      </w:tr>
    </w:tbl>
    <w:p>
      <w:pPr>
        <w:jc w:val="left"/>
      </w:pPr>
      <w:r>
        <w:rPr>
          <w:rFonts w:hAnsi="Times New Roman" w:cs="Times New Roman"/>
        </w:rPr>
        <w:t xml:space="preserve"/>
      </w:r>
    </w:p>
    <w:p>
      <w:pPr>
        <w:jc w:val="both"/>
        <w:pStyle w:val="Normal"/>
      </w:pPr>
      <w:r>
        <w:rPr>
          <w:rFonts w:hAnsi="Times New Roman" w:cs="Times New Roman"/>
        </w:rPr>
        <w:t xml:space="preserve">Radi osiguranja primjene novog Zakona o kibernetičkoj sigurnosti Republike Hrvatske, koji je donesen u veljači 2024. planirana su sredstva u okviru ove aktivnosti. Ministarstvo je identificirano kao ključni subjekt i kao nadležno sektorsko tijelo te je u obvezi implementirati mjere kibernetičke sigurnosti unutar vlastitih sustava, kako bi se osigurala zaštita podataka i kontinuitet pružanja usluga.  Integralni dio sustava je i sveobuhvatno upravljanje kontrolom pristupa informacijskoj imovini što uključuje i upravljanje privilegiranim pravom pristupa povlaštenim računima (engl. Privileged Account Management) na informatičkoj imovini Centra dijeljenih usluga (CDU). Implementacijom ovakvog sustava CDU želi umanjiti mogućnost neželjenih proboja u informatički sustav na način da se zaštiti, upravlja i nadzire račune kroz koje se omogućava privilegirani pristup. Planirana sredstva će se koristit za podizanje razine kibernetičke sigurnosti u sklopu CDU-a na način da će se implementirati novi sustavi koji će biti na raspolaganju svim korisnicima CDU-a. Na stavci 4262 - Ulaganja u računalne programe je planirano: 2025.- 1.296.000 €, 2026. - 2.000.000 €, 2027. - 1.500.000 €. Na stavci 3237 - Intelektualne i osobne usluge sredstva su planirana za vanjsku uslugu nadzora i proaktivno djelovanje stručnjaka na sustavima za kibernetičku zaštitu u sklopu CDU-a: 2025. - 500.000 €, 2026. - 1.000.000 €, 2027. - 1.000.000 €. Preostala planirana sredstva se odnose na službena putovanja i edukacije službenika. Planirana sredstva za 2025. iznose 1.836.000 € što je za 1.806.666 € više u odnosu na Tekući plan 2024.</w:t>
      </w:r>
    </w:p>
    <w:p>
      <w:pPr>
        <w:jc w:val="left"/>
        <w:pStyle w:val="Heading4"/>
      </w:pPr>
      <w:r>
        <w:rPr>
          <w:rFonts w:hAnsi="Times New Roman" w:cs="Times New Roman"/>
        </w:rPr>
        <w:t xml:space="preserve">A912009 BAZA PODATAKA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upravljanju državnom imovinom, Zakon o Središnjem registru državne imovine, Uredba o Središnjem registru državne imovine, Pravilnik o tehničkoj strukturi podataka i načinu upravljanja Središnjim registrom državne imovine, Zakon o pravu na pristup informacijama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A912009-BAZA PODATAKA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45.363</w:t>
            </w:r>
          </w:p>
        </w:tc>
        <w:tc>
          <w:tcPr>
            <w:tcW w:w="1632.96" w:type="dxa"/>
            <w:vAlign w:val="center"/>
          </w:tcPr>
          <w:p>
            <w:pPr>
              <w:jc w:val="both"/>
              <w:pStyle w:val="CellColumn"/>
            </w:pPr>
            <w:r>
              <w:rPr>
                <w:rFonts w:hAnsi="Times New Roman" w:cs="Times New Roman"/>
              </w:rPr>
              <w:t xml:space="preserve">268.720</w:t>
            </w:r>
          </w:p>
        </w:tc>
        <w:tc>
          <w:tcPr>
            <w:tcW w:w="1632.96" w:type="dxa"/>
            <w:vAlign w:val="center"/>
          </w:tcPr>
          <w:p>
            <w:pPr>
              <w:jc w:val="both"/>
              <w:pStyle w:val="CellColumn"/>
            </w:pPr>
            <w:r>
              <w:rPr>
                <w:rFonts w:hAnsi="Times New Roman" w:cs="Times New Roman"/>
              </w:rPr>
              <w:t xml:space="preserve">268.720</w:t>
            </w:r>
          </w:p>
        </w:tc>
        <w:tc>
          <w:tcPr>
            <w:tcW w:w="1632.96" w:type="dxa"/>
            <w:vAlign w:val="center"/>
          </w:tcPr>
          <w:p>
            <w:pPr>
              <w:jc w:val="both"/>
              <w:pStyle w:val="CellColumn"/>
            </w:pPr>
            <w:r>
              <w:rPr>
                <w:rFonts w:hAnsi="Times New Roman" w:cs="Times New Roman"/>
              </w:rPr>
              <w:t xml:space="preserve">268.720</w:t>
            </w:r>
          </w:p>
        </w:tc>
        <w:tc>
          <w:tcPr>
            <w:tcW w:w="510.3" w:type="dxa"/>
            <w:vAlign w:val="center"/>
          </w:tcPr>
          <w:p>
            <w:pPr>
              <w:jc w:val="both"/>
              <w:pStyle w:val="CellColumn"/>
            </w:pPr>
            <w:r>
              <w:rPr>
                <w:rFonts w:hAnsi="Times New Roman" w:cs="Times New Roman"/>
              </w:rPr>
              <w:t xml:space="preserve">592,4</w:t>
            </w:r>
          </w:p>
        </w:tc>
      </w:tr>
    </w:tbl>
    <w:p>
      <w:pPr>
        <w:jc w:val="left"/>
      </w:pPr>
      <w:r>
        <w:rPr>
          <w:rFonts w:hAnsi="Times New Roman" w:cs="Times New Roman"/>
        </w:rPr>
        <w:t xml:space="preserve"/>
      </w:r>
    </w:p>
    <w:p>
      <w:pPr>
        <w:jc w:val="both"/>
        <w:pStyle w:val="Normal"/>
      </w:pPr>
      <w:r>
        <w:rPr>
          <w:rFonts w:hAnsi="Times New Roman" w:cs="Times New Roman"/>
        </w:rPr>
        <w:t xml:space="preserve">Središnji registar državne imovine (SRDI) ključni je informacijski sustav koji omogućuje evidentiranje i praćenje državne imovine Republike Hrvatske. Sustav pruža centralizirani pregled imovine i osigurava transparentno, učinkovito i odgovorno upravljanje državnom imovinom Republike Hrvatske. Određena je vrsta imovine koja treba biti evidentirana, definiran način unosa i održavanja imovine, obveznici koji su dužni dostavljati i ažurirati podatke, implementacija sustava kontrole i sankcija za nepravilnosti u dostavi i unosu podataka te nadzor nad provedbom navedenih procesa. Za osiguranje nesmetanog rada sustava planirana su sredstva za održavanje postojećeg i  novog sustava, kako bi se zajamčio kontinuitet usluge i omogućila nesmetana prijelazna faza kada bude donesena odluka o prelasku na novi sustav. Postojeći sustav koristi se za svakodnevne aktivnosti korisnika te je neophodno osigurati njegovu funkcionalnost, dok ne bude donesena konačna odluka o prijelazu na novi sustav. Time se izbjegavaju potencijalni prekidi u radu koji bi mogli dovesti do poremećaja u korištenju sustava, odnosno pružanju usluge obveznicima. Iako odluka o korištenju novog sustava nije donesena, nužno je planirati sredstava za njegovo održavanje, kako bi se omogućio nesmetan prijelaz na novi sustav, kada se za to donese odluka te smanji mogućnost rizika pri prijelazu sa postojećeg na novi sustav. Planirana sredstva su veća u odnosu na Tekući plan 2024. iz više razloga: zbog aktualnih tržišnih trendova i inflacije, došlo je do značajnog povećanja troškova za usluge održavanja, što zahtjeva dodatna sredstva kako bi se osigurala potrebna razina kvalitete i stabilnosti usluge, potrebna su dodatna ulaganja u nadogradnje, koje su ključne za odgovaranje na suvremene poslovne zahtjeve i povećanu složenost, čime se omogućava učinkovitije i pouzdanije upravljanje državnom imovinom, Državna ured za reviziju je naložio svim obveznicima da unesu svoje podatke o imovini u SRDI, što je značajno povećalo opterećenje sustava i potrebu za dodatnom korisničkom podrškom, zbog čega je nužno osigurati sredstva za održavanje i podršku kako bi se omogućilo stabilno i sigurno okruženje za sve obveznike, neovisno o statusu novog sustava. Portal e-Savjetovanje je platforma koju je pokrenula Vlada Republike Hrvatske kako bi omogućila građanima, stručnjacima i zainteresiranoj javnosti aktivno sudjelovanje u donošenju zakona, propisa i drugih važnih javnih politika. Zakonska osnova za rad portala e-Savjetovanja je Zakon o pravu na pristup informacijama, koji obvezuje tijela javne vlasti na provođenje savjetovanja sa zainteresiranom javnošću prije donošenja propisa. Portal e-Savjetovanja omogućuje transparentnost u procesu donošenja odluka i pruža građanima priliku da iznesu svoje mišljenje i prijedloge o predloženim zakonima i propisima. Na taj način platforma poboljšava demokratski proces, potiče sudjelovanje građana u javnim poslovima te doprinosi kvaliteti konačnih zakonskih rješenja. Planirana sredstva se odnose na podršku i tehničko održavanje sustava</w:t>
      </w:r>
    </w:p>
    <w:p>
      <w:pPr>
        <w:jc w:val="left"/>
        <w:pStyle w:val="Heading4"/>
      </w:pPr>
      <w:r>
        <w:rPr>
          <w:rFonts w:hAnsi="Times New Roman" w:cs="Times New Roman"/>
        </w:rPr>
        <w:t xml:space="preserve">A912015 SUSTAV ZA NAPLATU JAVNIH DAVANJA I E-PRISTOJBE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upravnim pristojbama, Uredba o Tarifi upravnih pristojbi, Uredba o središnjem informacijsko-tehnološkom sustavu elektroničke naplate upravnih pristojbi, Odluka o tehničkim i drugim pretpostavkama za povezivanje javnopravnih tijela sa Sustavom e-Pristojbe, Odluka o strukturi i upravljanju matičnim podacima o javnopravnim tijelima u Sustavu e-Pristojbe, Odluka o primjeni i vođenju Sustava za naplatu javnih davanja putem platnih kartica, Zakon o državnoj informacijskoj infrastrukturi, Uredba o organizacijskim i tehničkim standardima za povezivanje na državnu informacijsku infrastrukturu, Ugovor o dodjeli bespovratnih sredstava za Projekt e-Pristojbe (oznake: UP.04.1.1.14.0001) iz Europskog socijalnog fonda u sklopu Operativnog programa „Učinkoviti ljudski potencijali“ 2014.-2020.</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A912015-SUSTAV ZA NAPLATU JAVNIH DAVANJA I E-PRISTOJBE</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1.895.533</w:t>
            </w:r>
          </w:p>
        </w:tc>
        <w:tc>
          <w:tcPr>
            <w:tcW w:w="1632.96" w:type="dxa"/>
            <w:vAlign w:val="center"/>
          </w:tcPr>
          <w:p>
            <w:pPr>
              <w:jc w:val="both"/>
              <w:pStyle w:val="CellColumn"/>
            </w:pPr>
            <w:r>
              <w:rPr>
                <w:rFonts w:hAnsi="Times New Roman" w:cs="Times New Roman"/>
              </w:rPr>
              <w:t xml:space="preserve">2.365.200</w:t>
            </w:r>
          </w:p>
        </w:tc>
        <w:tc>
          <w:tcPr>
            <w:tcW w:w="1632.96" w:type="dxa"/>
            <w:vAlign w:val="center"/>
          </w:tcPr>
          <w:p>
            <w:pPr>
              <w:jc w:val="both"/>
              <w:pStyle w:val="CellColumn"/>
            </w:pPr>
            <w:r>
              <w:rPr>
                <w:rFonts w:hAnsi="Times New Roman" w:cs="Times New Roman"/>
              </w:rPr>
              <w:t xml:space="preserve">2.785.600</w:t>
            </w:r>
          </w:p>
        </w:tc>
        <w:tc>
          <w:tcPr>
            <w:tcW w:w="1632.96" w:type="dxa"/>
            <w:vAlign w:val="center"/>
          </w:tcPr>
          <w:p>
            <w:pPr>
              <w:jc w:val="both"/>
              <w:pStyle w:val="CellColumn"/>
            </w:pPr>
            <w:r>
              <w:rPr>
                <w:rFonts w:hAnsi="Times New Roman" w:cs="Times New Roman"/>
              </w:rPr>
              <w:t xml:space="preserve">2.980.000</w:t>
            </w:r>
          </w:p>
        </w:tc>
        <w:tc>
          <w:tcPr>
            <w:tcW w:w="510.3" w:type="dxa"/>
            <w:vAlign w:val="center"/>
          </w:tcPr>
          <w:p>
            <w:pPr>
              <w:jc w:val="both"/>
              <w:pStyle w:val="CellColumn"/>
            </w:pPr>
            <w:r>
              <w:rPr>
                <w:rFonts w:hAnsi="Times New Roman" w:cs="Times New Roman"/>
              </w:rPr>
              <w:t xml:space="preserve">124,8</w:t>
            </w:r>
          </w:p>
        </w:tc>
      </w:tr>
    </w:tbl>
    <w:p>
      <w:pPr>
        <w:jc w:val="left"/>
      </w:pPr>
      <w:r>
        <w:rPr>
          <w:rFonts w:hAnsi="Times New Roman" w:cs="Times New Roman"/>
        </w:rPr>
        <w:t xml:space="preserve"/>
      </w:r>
    </w:p>
    <w:p>
      <w:pPr>
        <w:jc w:val="both"/>
        <w:pStyle w:val="Normal"/>
      </w:pPr>
      <w:r>
        <w:rPr>
          <w:rFonts w:hAnsi="Times New Roman" w:cs="Times New Roman"/>
        </w:rPr>
        <w:t xml:space="preserve">Sustav za naplatu javnih davanja putem platnih kartica (SNJD) i Sustav e-Pristojbe (SeP) predstavljaju jedinstvenu funkcionalnu cjelinu, iako se radi o dva, međusobno povezana, organizacijsko-tehnološka sustava. Sustav za naplatu javnih davanja putem platnih kartica uspostavljen je još 2012. godine, temeljem odluke Vlade Republike Hrvatske o uspostavi i vođenju Sustava za naplatu javnih davanja, novčanih kazni izrečenih iz nadležnosti Ministarstva unutarnjih poslova, mandatnih kazni izrečenih iz nadležnosti Carinske uprave i upravnih pristojbi, putem platnih kartica. Do 2019. SNJD je bio u nadležnosti Ministarstva financija odnosno, u operativno-tehničkom pogledu, Financijske agencije, a od 2020. je, Odlukom Vlade Republike Hrvatske o primjeni i vođenju Sustava za naplatu javnih davanja putem platnih kartica, u nadležnosti Ministarstva uprave kao središnjeg tijela državne uprave nadležnog za poslove e-Hrvatske. Stupanjem na snagu novog Zakona o ustrojstvu i djelokrugu tijela državne uprave od 22. srpnja 2020. sustav preuzima Središnji državni ured za razvoj digitalnog društva (SDURDD). Sustav e-Pristojbe (SeP) je uspostavljen na osnovu Zakona o upravnim pristojbama i Uredbe o središnjem informacijsko-tehnološkom sustavu elektroničke naplate upravnih pristojbi, kroz provedbu EU Projekta e-Pristojbe (oznake UP.04.1.1.14.0001), za koji je Ugovor o dodjeli bespovratnih sredstava potpisan 26. rujna 2018. u sklopu Operativnog programa „Učinkoviti ljudski potencijali“ 2014.-2020., čiji je nositelj i korisnik od 22. srpnja 2020. Središnji državni ured za razvoj digitalnog društva preuzimanjem poslova od bivšeg Ministarstva uprave, dok je Financijska agencija projektni partner zadužen za uspostavu informacijsko-tehnološkog sustava SeP. Od 17. svibnja 2024. oba sustava preuzima Ministarstvo pravosuđa, uprave i digitalne transformacije od Središnjeg državnog ureda za razvoj digitalnog društva, koji je prestao s radom stupanjem na snagu Zakona o izmjenama i dopunama Zakona o ustrojstvu i djelokrugu tijela državne uprave. Kako bi se osiguralo redovito funkcioniranje i održavanje oba tehnološka sustava u svrhu za koju su uspostavljena, Ministarstvo planira potrebna sredstva za sljedeće proračunsko razdoblje  te, u skladu sa svojim nadležnostima, na propisani način regulira poslovne odnose s Financijskom agencijom kao jednim od pružatelja dijeljenih usluga u okviru državne informacijske infrastrukture, a kojoj su povjereni poslovi operativnog vođenja i održavanja ovih sustava. Poslovi obuhvaćaju operativno vođenje, održavanje i daljnje unaprjeđenje pripadajućih komponenti kao dijeljenih usluga koje čine državnu informacijsku infrastrukturu te osiguravaju pouzdan rad cjelokupnog sustava, putem kojeg tijela javnog sektora i institucije mogu bezgotovinski, kartičnim putem, naplaćivati različite vrste pristojbi i naknada, mandatne i novčane kazne te druga javna davanja, koja predstavljaju prihode državnog proračuna ili proračuna jedinica lokalne i područne (regionalne) samouprave, u postupcima i procedurama u sklopu poslova koje obavljaju i javnih usluga koje pružaju unutar svojih nadležnosti sukladno zakonskim propisima. Dio planiranih sredstava namijenjen je za operativno vođenje, održavanje i unaprjeđenje Sustava e-Pristojbe, kao i za rad Kontakt centra za e-Pristojbe te za poslove na uključivanju novih tijela i institucija, odnosno njihovih usluga na ovaj sustav, a dio za operativno vođenje, održavanje i unaprjeđenje Sustava za naplatu javnih davanja putem platnih kartica, kao i za potrebe njegovog proširenja sukladno podnesenim i odobrenim zahtjevima tijela i institucija, koje gotovinsku naplatu novčanih i mandatnih kazni, pristojbi ili drugih javnih davanja zamjenjuju bezgotovinskom naplatom te tako korisnicima omogućuju kartično plaćanje putem instaliranih POS uredskih ili mobilnih uređaja na mjestu pružanja usluge ili učinjenog prekršaja. Početkom sljedeće godine očekuje se i nacionalno uvođenje i primjena tzv. Instant plaćanja, za što će biti potrebno provesti odgovarajuće nadogradnje funkcionalnosti sustava SNJD. Za sljedeće proračunsko razdoblje je planirano daljnje proširenje sustava SNDJ i e-Pristojbe kroz povećanje broja instaliranih POS uređaja, uključivanje novih usluga i e-usluga na ove sustave, kao i povećanje ukupnog broja platnih transakcija, odnosno, povećanje financijskog obujma ukupne naplate pristojbi, naknada, mandatnih i novčanih kazni za prekršaje, za što je planirano i odgovarajuće povećanje troškova rada oba sustava.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e-usluga uključenih u sustav e-Pristojbe u okviru sustava e-Građani</w:t>
            </w:r>
          </w:p>
        </w:tc>
        <w:tc>
          <w:tcPr>
            <w:tcW w:w="2245.32" w:type="dxa"/>
            <w:vAlign w:val="center"/>
          </w:tcPr>
          <w:p>
            <w:pPr>
              <w:jc w:val="both"/>
              <w:pStyle w:val="CellColumn"/>
            </w:pPr>
            <w:r>
              <w:rPr>
                <w:rFonts w:hAnsi="Times New Roman" w:cs="Times New Roman"/>
              </w:rPr>
              <w:t xml:space="preserve">Elektroničke usluge dostupne putem sustava e-Građani kojima je korisnicima omogućeno online plaćanje karticama propisanih pristojbi i naknada putem SeP-a</w:t>
            </w:r>
          </w:p>
        </w:tc>
        <w:tc>
          <w:tcPr>
            <w:tcW w:w="918.54" w:type="dxa"/>
            <w:vAlign w:val="center"/>
          </w:tcPr>
          <w:p>
            <w:pPr>
              <w:jc w:val="both"/>
              <w:pStyle w:val="CellColumn"/>
            </w:pPr>
            <w:r>
              <w:rPr>
                <w:rFonts w:hAnsi="Times New Roman" w:cs="Times New Roman"/>
              </w:rPr>
              <w:t xml:space="preserve">broj e-usluga</w:t>
            </w:r>
          </w:p>
        </w:tc>
        <w:tc>
          <w:tcPr>
            <w:tcW w:w="918.54" w:type="dxa"/>
            <w:vAlign w:val="center"/>
          </w:tcPr>
          <w:p>
            <w:pPr>
              <w:jc w:val="both"/>
              <w:pStyle w:val="CellColumn"/>
            </w:pPr>
            <w:r>
              <w:rPr>
                <w:rFonts w:hAnsi="Times New Roman" w:cs="Times New Roman"/>
              </w:rPr>
              <w:t xml:space="preserve">9</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30</w:t>
            </w:r>
          </w:p>
        </w:tc>
      </w:tr>
      <w:tr>
        <w:trPr>
          <w:cantSplit/>
        </w:trPr>
        <w:tc>
          <w:tcPr>
            <w:tcW w:w="2245.32" w:type="dxa"/>
            <w:vAlign w:val="center"/>
          </w:tcPr>
          <w:p>
            <w:pPr>
              <w:jc w:val="both"/>
              <w:pStyle w:val="CellColumn"/>
            </w:pPr>
            <w:r>
              <w:rPr>
                <w:rFonts w:hAnsi="Times New Roman" w:cs="Times New Roman"/>
              </w:rPr>
              <w:t xml:space="preserve">Broj šalterskih usluga uključenih u sustav e-Pristojbe</w:t>
            </w:r>
          </w:p>
        </w:tc>
        <w:tc>
          <w:tcPr>
            <w:tcW w:w="2245.32" w:type="dxa"/>
            <w:vAlign w:val="center"/>
          </w:tcPr>
          <w:p>
            <w:pPr>
              <w:jc w:val="both"/>
              <w:pStyle w:val="CellColumn"/>
            </w:pPr>
            <w:r>
              <w:rPr>
                <w:rFonts w:hAnsi="Times New Roman" w:cs="Times New Roman"/>
              </w:rPr>
              <w:t xml:space="preserve">Javne usluge za koje je korisnicima omogućeno kartično plaćanje propisanih pristojbi i naknada putem POS uređaja na mjestu pružanja usluga (na šalterima javnopravnih tijela)</w:t>
            </w:r>
          </w:p>
        </w:tc>
        <w:tc>
          <w:tcPr>
            <w:tcW w:w="918.54" w:type="dxa"/>
            <w:vAlign w:val="center"/>
          </w:tcPr>
          <w:p>
            <w:pPr>
              <w:jc w:val="both"/>
              <w:pStyle w:val="CellColumn"/>
            </w:pPr>
            <w:r>
              <w:rPr>
                <w:rFonts w:hAnsi="Times New Roman" w:cs="Times New Roman"/>
              </w:rPr>
              <w:t xml:space="preserve">broj usluga</w:t>
            </w:r>
          </w:p>
        </w:tc>
        <w:tc>
          <w:tcPr>
            <w:tcW w:w="918.54" w:type="dxa"/>
            <w:vAlign w:val="center"/>
          </w:tcPr>
          <w:p>
            <w:pPr>
              <w:jc w:val="both"/>
              <w:pStyle w:val="CellColumn"/>
            </w:pPr>
            <w:r>
              <w:rPr>
                <w:rFonts w:hAnsi="Times New Roman" w:cs="Times New Roman"/>
              </w:rPr>
              <w:t xml:space="preserve">55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60</w:t>
            </w:r>
          </w:p>
        </w:tc>
        <w:tc>
          <w:tcPr>
            <w:tcW w:w="918.54" w:type="dxa"/>
            <w:vAlign w:val="center"/>
          </w:tcPr>
          <w:p>
            <w:pPr>
              <w:jc w:val="both"/>
              <w:pStyle w:val="CellColumn"/>
            </w:pPr>
            <w:r>
              <w:rPr>
                <w:rFonts w:hAnsi="Times New Roman" w:cs="Times New Roman"/>
              </w:rPr>
              <w:t xml:space="preserve">75</w:t>
            </w:r>
          </w:p>
        </w:tc>
        <w:tc>
          <w:tcPr>
            <w:tcW w:w="918.54" w:type="dxa"/>
            <w:vAlign w:val="center"/>
          </w:tcPr>
          <w:p>
            <w:pPr>
              <w:jc w:val="both"/>
              <w:pStyle w:val="CellColumn"/>
            </w:pPr>
            <w:r>
              <w:rPr>
                <w:rFonts w:hAnsi="Times New Roman" w:cs="Times New Roman"/>
              </w:rPr>
              <w:t xml:space="preserve">100</w:t>
            </w:r>
          </w:p>
        </w:tc>
      </w:tr>
      <w:tr>
        <w:trPr>
          <w:cantSplit/>
        </w:trPr>
        <w:tc>
          <w:tcPr>
            <w:tcW w:w="2245.32" w:type="dxa"/>
            <w:vAlign w:val="center"/>
          </w:tcPr>
          <w:p>
            <w:pPr>
              <w:jc w:val="both"/>
              <w:pStyle w:val="CellColumn"/>
            </w:pPr>
            <w:r>
              <w:rPr>
                <w:rFonts w:hAnsi="Times New Roman" w:cs="Times New Roman"/>
              </w:rPr>
              <w:t xml:space="preserve">Broj instaliranih POS uređaja u javnopravnim tijelima</w:t>
            </w:r>
          </w:p>
        </w:tc>
        <w:tc>
          <w:tcPr>
            <w:tcW w:w="2245.32" w:type="dxa"/>
            <w:vAlign w:val="center"/>
          </w:tcPr>
          <w:p>
            <w:pPr>
              <w:jc w:val="both"/>
              <w:pStyle w:val="CellColumn"/>
            </w:pPr>
            <w:r>
              <w:rPr>
                <w:rFonts w:hAnsi="Times New Roman" w:cs="Times New Roman"/>
              </w:rPr>
              <w:t xml:space="preserve">Mobilni ili fiksni EFTPOS uređaji za kartičnu naplatu upravnih i drugih vrsta pristojbi i/ili naknada, novčanih i mandatnih kazni ili drugih javnih davanja</w:t>
            </w:r>
          </w:p>
        </w:tc>
        <w:tc>
          <w:tcPr>
            <w:tcW w:w="918.54" w:type="dxa"/>
            <w:vAlign w:val="center"/>
          </w:tcPr>
          <w:p>
            <w:pPr>
              <w:jc w:val="both"/>
              <w:pStyle w:val="CellColumn"/>
            </w:pPr>
            <w:r>
              <w:rPr>
                <w:rFonts w:hAnsi="Times New Roman" w:cs="Times New Roman"/>
              </w:rPr>
              <w:t xml:space="preserve">broj uređaja</w:t>
            </w:r>
          </w:p>
        </w:tc>
        <w:tc>
          <w:tcPr>
            <w:tcW w:w="918.54" w:type="dxa"/>
            <w:vAlign w:val="center"/>
          </w:tcPr>
          <w:p>
            <w:pPr>
              <w:jc w:val="both"/>
              <w:pStyle w:val="CellColumn"/>
            </w:pPr>
            <w:r>
              <w:rPr>
                <w:rFonts w:hAnsi="Times New Roman" w:cs="Times New Roman"/>
              </w:rPr>
              <w:t xml:space="preserve">1735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1770</w:t>
            </w:r>
          </w:p>
        </w:tc>
        <w:tc>
          <w:tcPr>
            <w:tcW w:w="918.54" w:type="dxa"/>
            <w:vAlign w:val="center"/>
          </w:tcPr>
          <w:p>
            <w:pPr>
              <w:jc w:val="both"/>
              <w:pStyle w:val="CellColumn"/>
            </w:pPr>
            <w:r>
              <w:rPr>
                <w:rFonts w:hAnsi="Times New Roman" w:cs="Times New Roman"/>
              </w:rPr>
              <w:t xml:space="preserve">1820</w:t>
            </w:r>
          </w:p>
        </w:tc>
        <w:tc>
          <w:tcPr>
            <w:tcW w:w="918.54" w:type="dxa"/>
            <w:vAlign w:val="center"/>
          </w:tcPr>
          <w:p>
            <w:pPr>
              <w:jc w:val="both"/>
              <w:pStyle w:val="CellColumn"/>
            </w:pPr>
            <w:r>
              <w:rPr>
                <w:rFonts w:hAnsi="Times New Roman" w:cs="Times New Roman"/>
              </w:rPr>
              <w:t xml:space="preserve">1850</w:t>
            </w:r>
          </w:p>
        </w:tc>
      </w:tr>
    </w:tbl>
    <w:p>
      <w:pPr>
        <w:jc w:val="left"/>
      </w:pPr>
      <w:r>
        <w:rPr>
          <w:rFonts w:hAnsi="Times New Roman" w:cs="Times New Roman"/>
        </w:rPr>
        <w:t xml:space="preserve"/>
      </w:r>
    </w:p>
    <w:p>
      <w:pPr>
        <w:jc w:val="left"/>
        <w:pStyle w:val="Heading4"/>
      </w:pPr>
      <w:r>
        <w:rPr>
          <w:rFonts w:hAnsi="Times New Roman" w:cs="Times New Roman"/>
        </w:rPr>
        <w:t xml:space="preserve">K912003 INFORMATIZACIJA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ustrojstvu i djelokrugu tijela državne uprave, Zakon o pravu na pristup informacijama, Zakon o financiranju političkih aktivnosti i izborne promidžbe, Zakon o knjižnicama i knjižničkoj djelatnosti, Pravilnik o Središnjem katalogu službenih dokumenata Republike Hrvatske, Odluka o priključenju baze pravnih propis Republike Hrvatske koju vodi Digitalni informacijsko-dokumentacijski ured na portalu N-lex, Zakon o državnoj informacijskoj infrastrukturi, Uredba o organizacijskim i tehničkim standardima za povezivanje na državnu informacijsku infrastrukturu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K912003-INFORMATIZACIJA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7.064.413</w:t>
            </w:r>
          </w:p>
        </w:tc>
        <w:tc>
          <w:tcPr>
            <w:tcW w:w="1632.96" w:type="dxa"/>
            <w:vAlign w:val="center"/>
          </w:tcPr>
          <w:p>
            <w:pPr>
              <w:jc w:val="both"/>
              <w:pStyle w:val="CellColumn"/>
            </w:pPr>
            <w:r>
              <w:rPr>
                <w:rFonts w:hAnsi="Times New Roman" w:cs="Times New Roman"/>
              </w:rPr>
              <w:t xml:space="preserve">19.836.648</w:t>
            </w:r>
          </w:p>
        </w:tc>
        <w:tc>
          <w:tcPr>
            <w:tcW w:w="1632.96" w:type="dxa"/>
            <w:vAlign w:val="center"/>
          </w:tcPr>
          <w:p>
            <w:pPr>
              <w:jc w:val="both"/>
              <w:pStyle w:val="CellColumn"/>
            </w:pPr>
            <w:r>
              <w:rPr>
                <w:rFonts w:hAnsi="Times New Roman" w:cs="Times New Roman"/>
              </w:rPr>
              <w:t xml:space="preserve">20.904.474</w:t>
            </w:r>
          </w:p>
        </w:tc>
        <w:tc>
          <w:tcPr>
            <w:tcW w:w="1632.96" w:type="dxa"/>
            <w:vAlign w:val="center"/>
          </w:tcPr>
          <w:p>
            <w:pPr>
              <w:jc w:val="both"/>
              <w:pStyle w:val="CellColumn"/>
            </w:pPr>
            <w:r>
              <w:rPr>
                <w:rFonts w:hAnsi="Times New Roman" w:cs="Times New Roman"/>
              </w:rPr>
              <w:t xml:space="preserve">50.501.975</w:t>
            </w:r>
          </w:p>
        </w:tc>
        <w:tc>
          <w:tcPr>
            <w:tcW w:w="510.3" w:type="dxa"/>
            <w:vAlign w:val="center"/>
          </w:tcPr>
          <w:p>
            <w:pPr>
              <w:jc w:val="both"/>
              <w:pStyle w:val="CellColumn"/>
            </w:pPr>
            <w:r>
              <w:rPr>
                <w:rFonts w:hAnsi="Times New Roman" w:cs="Times New Roman"/>
              </w:rPr>
              <w:t xml:space="preserve">280,8</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se odnose na za računalne usluge temeljem obveza po više ugovora, za: održavanje Sustava za upravljanje sadržajem Središnjeg državnog portala, koji uključuje sva tijela državne uprave koji imaju web stranice na GOV.hr domeni,  održavanje aplikacije Metaregistar, održavanje sustava za upravljanje sadržajem za web stranice Središnjeg kataloga službenih dokumenata Republike Hrvatske, uslugu održavanja Sustava za upravljanje službenom dokumentacijom Republike Hrvatske, uslugu održavanja Semantičke tražilice za potrebe upravljanja službenom dokumentacijom Republike Hrvatske, uslugu Smještaja gradiva Središnjeg kataloga Republike Hrvatske (u FINA-i), održavanje platforme za e/m-Potpis i e/m-Pečat, održavanje stranice e-Savjetovanja, Open data, održavanje Centra dijeljenih usluga (CDU) i dr. Sredstva su planirana i za neophodnu nabavu licenci, računalnu opremu i ulaganja u računalne programe. 
</w:t>
      </w:r>
    </w:p>
    <w:p>
      <w:pPr>
        <w:jc w:val="both"/>
        <w:pStyle w:val="Normal"/>
      </w:pPr>
      <w:r>
        <w:rPr>
          <w:rFonts w:hAnsi="Times New Roman" w:cs="Times New Roman"/>
        </w:rPr>
        <w:t xml:space="preserve">U sklopu projekta „Uspostava Centra dijeljenih usluga“,  proveden je postupak nabave za 13 grupa „Nabava roba i usluga s ciljem uspostave Centra dijeljenih usluga s pratećim poslovnim uslugama (IaaS, SaaS, PaaS) po grupama predmeta nabave“, broj 2019/S 0F2-0004881. Od 13 spomenutih grupa nabave, sklopljeni su okvirni sporazumi i ugovori s dobavljačima za 11 grupa nabave. Sastavni dio tih ugovora je i trogodišnje održavanje hardvera i softvera za funkcioniranje uspostavljenih servisa koje istječe, ovisno o pojedinoj grupi nabave, u razdoblju od srpnja do listopada 2025. Stoga su obnovljeni ugovori o održavanju, za naredno trogodišnje razdoblje, kako bi CDU mogao i dalje nastaviti pružati usluge korisnicima na siguran i pouzdan način kao i do sada. Planirana su sredstva za podmirenje troškova nadogradnje, koji će nastati temeljem Sporazuma o podršci u području održavanja i nadogradnje elektroničkih sustava za praćenje operacija i programa financiranih sredstvima europske unije i programa financiranih nacionalnim sredstvima.
</w:t>
      </w:r>
    </w:p>
    <w:p>
      <w:pPr>
        <w:jc w:val="both"/>
        <w:pStyle w:val="Normal"/>
      </w:pPr>
      <w:r>
        <w:rPr>
          <w:rFonts w:hAnsi="Times New Roman" w:cs="Times New Roman"/>
        </w:rPr>
        <w:t xml:space="preserve">U sljedećem proračunskom razdoblju je potrebno zanoviti hardware (serveri, storage, mreža, ...), a u 2027. provesti nabavu za održavanje hardware-a nabavljenog iz sredstava NPOO-a. Također, potrebno je obnoviti ugovore o održavanju koji istječu tijekom 2025., kako bi CDU mogao i dalje nastaviti pružati usluge korisnicima na siguran i pouzdan način kao i do sada. Također, planirana su znatna sredstva za nabavu licenci (Oracle, Micrososft SA, Zimba, antivirus, GreenPlum, SIEM, ITSM...), koje istječu tijekom sljedećeg proračunskog razdoblja. Sva nabavljena oprema nalazi se i instalirana je unutar dvaju podatkovnih centara te je za potrebe usluge smještaja te opreme na primarnoj i sekundarnoj lokaciji u podatkovnim centrima Jaska i Paljetkova za troškove električne energije i zakupnine planirano 1.543.000 € godišnje.  
</w:t>
      </w:r>
    </w:p>
    <w:p>
      <w:pPr>
        <w:jc w:val="both"/>
        <w:pStyle w:val="Normal"/>
      </w:pPr>
      <w:r>
        <w:rPr>
          <w:rFonts w:hAnsi="Times New Roman" w:cs="Times New Roman"/>
        </w:rPr>
        <w:t xml:space="preserve">Planirana sredstva za izradu sustava Registar državnih potpora i potpora male vrijednosti iznose 1.375.000 € s PDV-om. Potpisivanje ugovora planirano je za listopad 2024., a isporuka usluge do 31. prosinca 2025. Za održavanje ovog sustava u 2026. i 2027. je planirano 205.039 € s PDV-om godišnje. 
</w:t>
      </w:r>
    </w:p>
    <w:p>
      <w:pPr>
        <w:jc w:val="both"/>
        <w:pStyle w:val="Normal"/>
      </w:pPr>
      <w:r>
        <w:rPr>
          <w:rFonts w:hAnsi="Times New Roman" w:cs="Times New Roman"/>
        </w:rPr>
        <w:t xml:space="preserve">Planirana su sredstva i za izradu, nadogradnju i održavanje aplikacije za podnošenje i obradu amandmana na prijedlog državnog proračuna i prijedloge financijskih planova izvanproračunskih korisnika (e-Amandmani). Potpisivanje ugovora se očekuje u listopadu 2024., isporuka usluge do 31. listopada 2024., a procijenjena vrijednost ugovora je 800.000 € s PDV-om.  Za 2025. je planirana nadogradnja sustava u iznosu 138.000 € s PDV-om te održavanje sustava u iznosu 150.000 s PDV-om godišnje.  
</w:t>
      </w:r>
    </w:p>
    <w:p>
      <w:pPr>
        <w:jc w:val="both"/>
        <w:pStyle w:val="Normal"/>
      </w:pPr>
      <w:r>
        <w:rPr>
          <w:rFonts w:hAnsi="Times New Roman" w:cs="Times New Roman"/>
        </w:rPr>
        <w:t xml:space="preserve">Za održavanje informacijskog sustava Jedinstvenog kontakt centra, koji je uspostavljen kroz NPOO projekt, planirano je 650.000 € godišnje, a sredstva se odnose na troškove preventivnog, korektivnog i adaptivnog održavanja sustava.  
</w:t>
      </w:r>
    </w:p>
    <w:p>
      <w:pPr>
        <w:jc w:val="both"/>
        <w:pStyle w:val="Normal"/>
      </w:pPr>
      <w:r>
        <w:rPr>
          <w:rFonts w:hAnsi="Times New Roman" w:cs="Times New Roman"/>
        </w:rPr>
        <w:t xml:space="preserve">Realizacijom projekta Uspostava platforme sa elektroničkim uslugama za e/m-Potpis i e/m-Pečat financiranom kroz ESF omogućeno je građanima, poslovnim subjektima i tijelima javne vlasti elektroničko potpisivanje i pečatiranje dokumenata, čime se unaprjeđuje i ubrzava međusobna korespondencija korisnika s javnom upravom, u skladu s EU regulativom eIDAS. Platformom je uspostavljen skup servisa namijenjenih za potpisivanje, pečatiranje i validaciju (validacija je provjera valjanosti zaprimljenog elektroničkog potpisa) različitih digitalnih sadržaja (dokumenata) koje koristi cijela javna uprava. Platformu je, sukladno pravilima europskih fondova, nužno održavati nakon razdoblja provedbe projekta, a planirana sredstva za tu svrhu iznose 850.000 € godišnje.  
</w:t>
      </w:r>
    </w:p>
    <w:p>
      <w:pPr>
        <w:jc w:val="both"/>
        <w:pStyle w:val="Normal"/>
      </w:pPr>
      <w:r>
        <w:rPr>
          <w:rFonts w:hAnsi="Times New Roman" w:cs="Times New Roman"/>
        </w:rPr>
        <w:t xml:space="preserve">Za potrebe održavanja i ažuriranja Središnjeg kataloga službenih dokumenata Republike Hrvatske, uspostavljen je integralni sustav za upravljanje službenom dokumentacijom. U svrhu neometanog odvijanja radnih procesa koji uključuju prikupljanje, obradu, arhiviranje, prilagodbu i objavu podataka vezanih uz službenu dokumentaciju, nužno je aplikativno i sistemsko održavanje sustava na infrastrukturi. Središnji katalog službenih dokumenata Republike Hrvatske sadrži službenu dokumentaciju Republike Hrvatske (pravne propise, međunarodne ugovore, službena glasila jedinica lokalne i područne (regionalne) samouprave i ostalu službenu dokumentaciju i publikacije tijela javne vlasti),  podatke o tijelima javne vlasti te podatke o tijelima i osobama. Objavom putem Središnjeg kataloga službenih dokumenata Republike Hrvatske osigurava se jedinstvena i trajna dostupnost službenih dokumenata i informacija Republike Hrvatske te viša razina otvorenosti, transparentnosti i dostupnosti službenih dokumenata i informacija o radu tijela javnih vlasti.
</w:t>
      </w:r>
    </w:p>
    <w:p>
      <w:pPr>
        <w:jc w:val="both"/>
        <w:pStyle w:val="Normal"/>
      </w:pPr>
      <w:r>
        <w:rPr>
          <w:rFonts w:hAnsi="Times New Roman" w:cs="Times New Roman"/>
        </w:rPr>
        <w:t xml:space="preserve">Semantička tražilica je web-usluga koja omogućuje indeksiranje i pretraživanje službene dokumentacije Republike Hrvatske putem mrežnih stranica Središnjeg kataloga službenih dokumenata Republike Hrvatske.  Razvijena je kao integracija i sastavni dio sustava za obradu službe dokumentacije koji priprema dokumente i njihove podatke te preko kojega krajnji korisnici mogu slati upite i dobivati rezultate pretrage na svojim web-preglednicima. Planirana su sredstva i za smještaj u FINA-i gradiva Središnjeg kataloga koje nastaje tijekom obavljanja poslova.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tijela koja pružaju podršku korisnicima putem JKC</w:t>
            </w:r>
          </w:p>
        </w:tc>
        <w:tc>
          <w:tcPr>
            <w:tcW w:w="2245.32" w:type="dxa"/>
            <w:vAlign w:val="center"/>
          </w:tcPr>
          <w:p>
            <w:pPr>
              <w:jc w:val="both"/>
              <w:pStyle w:val="CellColumn"/>
            </w:pPr>
            <w:r>
              <w:rPr>
                <w:rFonts w:hAnsi="Times New Roman" w:cs="Times New Roman"/>
              </w:rPr>
              <w:t xml:space="preserve">Pružanje podrške korisnicima putem Jedinstvenog kontakt centra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16</w:t>
            </w:r>
          </w:p>
        </w:tc>
      </w:tr>
      <w:tr>
        <w:trPr>
          <w:cantSplit/>
        </w:trPr>
        <w:tc>
          <w:tcPr>
            <w:tcW w:w="2245.32" w:type="dxa"/>
            <w:vAlign w:val="center"/>
          </w:tcPr>
          <w:p>
            <w:pPr>
              <w:jc w:val="both"/>
              <w:pStyle w:val="CellColumn"/>
            </w:pPr>
            <w:r>
              <w:rPr>
                <w:rFonts w:hAnsi="Times New Roman" w:cs="Times New Roman"/>
              </w:rPr>
              <w:t xml:space="preserve">Jedinstvena i trajna dostupnost službenih dokumenata i informacija Republike Hrvatske putem Središnjeg kataloga službenih dokumenata Republike Hrvatske</w:t>
            </w:r>
          </w:p>
        </w:tc>
        <w:tc>
          <w:tcPr>
            <w:tcW w:w="2245.32" w:type="dxa"/>
            <w:vAlign w:val="center"/>
          </w:tcPr>
          <w:p>
            <w:pPr>
              <w:jc w:val="both"/>
              <w:pStyle w:val="CellColumn"/>
            </w:pPr>
            <w:r>
              <w:rPr>
                <w:rFonts w:hAnsi="Times New Roman" w:cs="Times New Roman"/>
              </w:rPr>
              <w:t xml:space="preserve">Uspostavljeni integralni sustav za upravljanje službenom dokumentacijom</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T757029 UVOĐENJE NOVOG EUROPSKOG OKVIRA ZA DIGITALNI INDENTITET</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(EU) 2024/1183 Europskog parlamenta i Vijeća od 11. travnja 2024. o izmjeni Uredbe (EU) br. 910/2014 u pogledu uspostave europskog okvira za digitalni identitet</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T757029-UVOĐENJE NOVOG EUROPSKOG OKVIRA ZA DIGITALNI INDENTITET</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7.200.000</w:t>
            </w:r>
          </w:p>
        </w:tc>
        <w:tc>
          <w:tcPr>
            <w:tcW w:w="1632.96" w:type="dxa"/>
            <w:vAlign w:val="center"/>
          </w:tcPr>
          <w:p>
            <w:pPr>
              <w:jc w:val="both"/>
              <w:pStyle w:val="CellColumn"/>
            </w:pPr>
            <w:r>
              <w:rPr>
                <w:rFonts w:hAnsi="Times New Roman" w:cs="Times New Roman"/>
              </w:rPr>
              <w:t xml:space="preserve">13.000.000</w:t>
            </w:r>
          </w:p>
        </w:tc>
        <w:tc>
          <w:tcPr>
            <w:tcW w:w="1632.96" w:type="dxa"/>
            <w:vAlign w:val="center"/>
          </w:tcPr>
          <w:p>
            <w:pPr>
              <w:jc w:val="both"/>
              <w:pStyle w:val="CellColumn"/>
            </w:pPr>
            <w:r>
              <w:rPr>
                <w:rFonts w:hAnsi="Times New Roman" w:cs="Times New Roman"/>
              </w:rPr>
              <w:t xml:space="preserve">19.000.000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na novom projektu (IF 11) u iznosu 7.200.000 € za 2025., 13.000.000 € za 2026. i 19.000.000 € za 2027. se odnose na ispunjenje obaveze uspostave europskog okvira za digitalni identitet. Objavom  Uredbe (EU) 2024/1183 Europskog parlamenta i Vijeća od 11. travnja 2024. o izmjeni Uredbe (EU) br. 910/2014 Republika Hrvatska (RH) je, u pogledu uspostave europskog okvira za digitalni identitet, obvezna osigurati EU lisnicu svim građanima RH, citat: „Kako bi se osiguralo da sve fizičke i pravne osobe u Uniji imaju siguran, pouzdan i neometan prekogranični pristup javnim i privatnim uslugama, uz potpunu kontrolu nad vlastitim podacima, svaka država članica na raspolaganje stavlja najmanje jednu europsku lisnicu za digitalni identitet u roku od 24 mjeseca od datuma stupanja na snagu provedbenih akata iz stavka 23. ovog članka i članka 5.c stavka 6.“ Osim izrade, certifikacije i plasiranja EU lisnice, RH mora doraditi sustav državne informacijske infrastrukture, uspostaviti novi eko sustav podrške za EU lisnicu, što podrazumijeva povezivanje registara s lisnicom, certifikaciju atributa i sustava te nadzor i izvještavanje kao i uključivanje privatnog sektora u novi EU okvir.  Primjerice, tijela privatnog sektora će moći, u okviru svojih usluga, ponuditi identifikaciju s EU lisnicom, dok će cijeli proces registracije, nadzora, izvještavanja i održavanja biti na tijelima javne vlasti. Ministarstvo, u ovom trenutku, sudjeluje u procesu komitologije tj. donošenja provedbenih akata. Sama lisnica mora biti stavljena na raspolaganje građanima do kraja 2026.</w:t>
      </w:r>
    </w:p>
    <w:p>
      <w:pPr>
        <w:jc w:val="left"/>
        <w:pStyle w:val="Heading4"/>
      </w:pPr>
      <w:r>
        <w:rPr>
          <w:rFonts w:hAnsi="Times New Roman" w:cs="Times New Roman"/>
        </w:rPr>
        <w:t xml:space="preserve">T830029 CJELOVITA INFORMATIZACIJA SUSTAVA ODGOJA I OBRAZOVANJA - ESF +</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(EU) 2021/1057 Europskog parlamenta i Vijeća od 24. lipnja 2021. o uspostavi Europskog socijalnog fonda plus (ESF+) i stavljanju izvan snage Uredbe (EU) br. 1296/2013.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T830029-CJELOVITA INFORMATIZACIJA SUSTAVA ODGOJA I OBRAZOVANJA - ESF +</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82.500</w:t>
            </w:r>
          </w:p>
        </w:tc>
        <w:tc>
          <w:tcPr>
            <w:tcW w:w="1632.96" w:type="dxa"/>
            <w:vAlign w:val="center"/>
          </w:tcPr>
          <w:p>
            <w:pPr>
              <w:jc w:val="both"/>
              <w:pStyle w:val="CellColumn"/>
            </w:pPr>
            <w:r>
              <w:rPr>
                <w:rFonts w:hAnsi="Times New Roman" w:cs="Times New Roman"/>
              </w:rPr>
              <w:t xml:space="preserve">81.000</w:t>
            </w:r>
          </w:p>
        </w:tc>
        <w:tc>
          <w:tcPr>
            <w:tcW w:w="1632.96" w:type="dxa"/>
            <w:vAlign w:val="center"/>
          </w:tcPr>
          <w:p>
            <w:pPr>
              <w:jc w:val="both"/>
              <w:pStyle w:val="CellColumn"/>
            </w:pPr>
            <w:r>
              <w:rPr>
                <w:rFonts w:hAnsi="Times New Roman" w:cs="Times New Roman"/>
              </w:rPr>
              <w:t xml:space="preserve">12.500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U okviru ovog projekta (IF 12 Sredstva učešća za pomoći i 561 Europski socijalni fond (ESF)) iz programa ESF +, planirana su sredstva za nastavak informatizacije poslovnih procesa u cijeloj vertikali sustava odgoja i obrazovanja. Planirane aktivnosti se odnose na izradu i implementaciju cjelovitog programskog rješenja, nadogradnju sustava, cjelovitu tehničku, korisničku podršku i testiranja (performansna testiranja, korisnička testiranja), izradu tehničke i korisničke dokumentacije te osposobljavanje za rad sa sustavom za vrijeme trajanja projekta.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nadograđenih sustava upisa u obrazovne ustanove</w:t>
            </w:r>
          </w:p>
        </w:tc>
        <w:tc>
          <w:tcPr>
            <w:tcW w:w="2245.32" w:type="dxa"/>
            <w:vAlign w:val="center"/>
          </w:tcPr>
          <w:p>
            <w:pPr>
              <w:jc w:val="both"/>
              <w:pStyle w:val="CellColumn"/>
            </w:pPr>
            <w:r>
              <w:rPr>
                <w:rFonts w:hAnsi="Times New Roman" w:cs="Times New Roman"/>
              </w:rPr>
              <w:t xml:space="preserve">Nadograđen sustav upisa u obrazovne ustanove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4"/>
      </w:pPr>
      <w:r>
        <w:rPr>
          <w:rFonts w:hAnsi="Times New Roman" w:cs="Times New Roman"/>
        </w:rPr>
        <w:t xml:space="preserve">T912029 USPOSTAVA EUROPSKOG CENTRA ZA KOMPETENTNOST ZA POLUVODIČE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Odluka o provedbi  Uredbe (EU) 2023/1781 Europskog parlamenta i Vijeća od 13. rujna 2023., o uspostavi okvira mjera za jačanje europskog ekosustava poluvodiča i izmjeni Uredbe (EU) 2021/694.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T912029-USPOSTAVA EUROPSKOG CENTRA ZA KOMPETENTNOST ZA POLUVODIČE</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2.000.000</w:t>
            </w:r>
          </w:p>
        </w:tc>
        <w:tc>
          <w:tcPr>
            <w:tcW w:w="1632.96" w:type="dxa"/>
            <w:vAlign w:val="center"/>
          </w:tcPr>
          <w:p>
            <w:pPr>
              <w:jc w:val="both"/>
              <w:pStyle w:val="CellColumn"/>
            </w:pPr>
            <w:r>
              <w:rPr>
                <w:rFonts w:hAnsi="Times New Roman" w:cs="Times New Roman"/>
              </w:rPr>
              <w:t xml:space="preserve">2.000.000</w:t>
            </w:r>
          </w:p>
        </w:tc>
        <w:tc>
          <w:tcPr>
            <w:tcW w:w="1632.96" w:type="dxa"/>
            <w:vAlign w:val="center"/>
          </w:tcPr>
          <w:p>
            <w:pPr>
              <w:jc w:val="both"/>
              <w:pStyle w:val="CellColumn"/>
            </w:pPr>
            <w:r>
              <w:rPr>
                <w:rFonts w:hAnsi="Times New Roman" w:cs="Times New Roman"/>
              </w:rPr>
              <w:t xml:space="preserve">2.000.000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Za sljedeće proračunsko razdoblje su planirana sredstva na novom projektu: „Uspostava Europskog centra za kompetentnost za poluvodiče“. Na 24. sjednici Vlade Republike Hrvatske donesena je Odluka o provedbi  Uredbe (EU) 2023/1781 Europskog parlamenta i Vijeća od 13. rujna 2023., o uspostavi okvira mjera za jačanje europskog ekosustava poluvodiča i izmjeni Uredbe (EU) 2021/694., kojom je propisano da se Hrvatski centar kompetentnosti za poluvodiče financira sa  1.000.000 € godišnje iz EU sredstava (iz Digital Europe Programme, IF 51 Pomoći EU) te sa 1.000.000 € godišnje nacionalnih sredstava (IF 11). Čl. 2 Odluke propisano je da će Vlada Republike Hrvatske za financiranje Hrvatskog centra kompetentnosti za poluvodiče osigurati 1.000.000 € godišnje od 2025. do 2028., odnosno ukupno 4.000.000 €.</w:t>
      </w:r>
    </w:p>
    <w:p>
      <w:pPr>
        <w:jc w:val="left"/>
        <w:pStyle w:val="Heading3"/>
      </w:pPr>
      <w:r>
        <w:rPr>
          <w:rFonts w:hAnsi="Times New Roman" w:cs="Times New Roman"/>
        </w:rPr>
        <w:t xml:space="preserve">2801 KOORDINACIJA I UPRAVLJANJE PRAVOSUĐA I UPRAVE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2801-KOORDINACIJA I UPRAVLJANJE PRAVOSUĐA I UPRAVE</w:t>
            </w:r>
          </w:p>
        </w:tc>
        <w:tc>
          <w:tcPr>
            <w:tcW w:w="1632.96" w:type="dxa"/>
            <w:vAlign w:val="center"/>
          </w:tcPr>
          <w:p>
            <w:pPr>
              <w:jc w:val="both"/>
              <w:pStyle w:val="CellColumn"/>
            </w:pPr>
            <w:r>
              <w:rPr>
                <w:rFonts w:hAnsi="Times New Roman" w:cs="Times New Roman"/>
              </w:rPr>
              <w:t xml:space="preserve">40.049.173</w:t>
            </w:r>
          </w:p>
        </w:tc>
        <w:tc>
          <w:tcPr>
            <w:tcW w:w="1632.96" w:type="dxa"/>
            <w:vAlign w:val="center"/>
          </w:tcPr>
          <w:p>
            <w:pPr>
              <w:jc w:val="both"/>
              <w:pStyle w:val="CellColumn"/>
            </w:pPr>
            <w:r>
              <w:rPr>
                <w:rFonts w:hAnsi="Times New Roman" w:cs="Times New Roman"/>
              </w:rPr>
              <w:t xml:space="preserve">55.709.493</w:t>
            </w:r>
          </w:p>
        </w:tc>
        <w:tc>
          <w:tcPr>
            <w:tcW w:w="1632.96" w:type="dxa"/>
            <w:vAlign w:val="center"/>
          </w:tcPr>
          <w:p>
            <w:pPr>
              <w:jc w:val="both"/>
              <w:pStyle w:val="CellColumn"/>
            </w:pPr>
            <w:r>
              <w:rPr>
                <w:rFonts w:hAnsi="Times New Roman" w:cs="Times New Roman"/>
              </w:rPr>
              <w:t xml:space="preserve">57.688.322</w:t>
            </w:r>
          </w:p>
        </w:tc>
        <w:tc>
          <w:tcPr>
            <w:tcW w:w="1632.96" w:type="dxa"/>
            <w:vAlign w:val="center"/>
          </w:tcPr>
          <w:p>
            <w:pPr>
              <w:jc w:val="both"/>
              <w:pStyle w:val="CellColumn"/>
            </w:pPr>
            <w:r>
              <w:rPr>
                <w:rFonts w:hAnsi="Times New Roman" w:cs="Times New Roman"/>
              </w:rPr>
              <w:t xml:space="preserve">61.616.769</w:t>
            </w:r>
          </w:p>
        </w:tc>
        <w:tc>
          <w:tcPr>
            <w:tcW w:w="1632.96" w:type="dxa"/>
            <w:vAlign w:val="center"/>
          </w:tcPr>
          <w:p>
            <w:pPr>
              <w:jc w:val="both"/>
              <w:pStyle w:val="CellColumn"/>
            </w:pPr>
            <w:r>
              <w:rPr>
                <w:rFonts w:hAnsi="Times New Roman" w:cs="Times New Roman"/>
              </w:rPr>
              <w:t xml:space="preserve">62.667.530</w:t>
            </w:r>
          </w:p>
        </w:tc>
        <w:tc>
          <w:tcPr>
            <w:tcW w:w="510.3" w:type="dxa"/>
            <w:vAlign w:val="center"/>
          </w:tcPr>
          <w:p>
            <w:pPr>
              <w:jc w:val="both"/>
              <w:pStyle w:val="CellColumn"/>
            </w:pPr>
            <w:r>
              <w:rPr>
                <w:rFonts w:hAnsi="Times New Roman" w:cs="Times New Roman"/>
              </w:rPr>
              <w:t xml:space="preserve">103,6</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profesionalizma i transparentnosti u pravosuđu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Povećanje broja programa edukacije</w:t>
            </w:r>
          </w:p>
        </w:tc>
        <w:tc>
          <w:tcPr>
            <w:tcW w:w="2245.32" w:type="dxa"/>
            <w:vAlign w:val="center"/>
          </w:tcPr>
          <w:p>
            <w:pPr>
              <w:jc w:val="both"/>
              <w:pStyle w:val="CellColumn"/>
            </w:pPr>
            <w:r>
              <w:rPr>
                <w:rFonts w:hAnsi="Times New Roman" w:cs="Times New Roman"/>
              </w:rPr>
              <w:t xml:space="preserve">Realizacija aktivnosti vezanih uz jačanje profesionalizma izražena kroz broj programa edukacije</w:t>
            </w:r>
          </w:p>
        </w:tc>
        <w:tc>
          <w:tcPr>
            <w:tcW w:w="918.54" w:type="dxa"/>
            <w:vAlign w:val="center"/>
          </w:tcPr>
          <w:p>
            <w:pPr>
              <w:jc w:val="both"/>
              <w:pStyle w:val="CellColumn"/>
            </w:pPr>
            <w:r>
              <w:rPr>
                <w:rFonts w:hAnsi="Times New Roman" w:cs="Times New Roman"/>
              </w:rPr>
              <w:t xml:space="preserve">Broj programa edukacije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64</w:t>
            </w:r>
          </w:p>
        </w:tc>
        <w:tc>
          <w:tcPr>
            <w:tcW w:w="918.54" w:type="dxa"/>
            <w:vAlign w:val="center"/>
          </w:tcPr>
          <w:p>
            <w:pPr>
              <w:jc w:val="both"/>
              <w:pStyle w:val="CellColumn"/>
            </w:pPr>
            <w:r>
              <w:rPr>
                <w:rFonts w:hAnsi="Times New Roman" w:cs="Times New Roman"/>
              </w:rPr>
              <w:t xml:space="preserve">70</w:t>
            </w:r>
          </w:p>
        </w:tc>
        <w:tc>
          <w:tcPr>
            <w:tcW w:w="918.54" w:type="dxa"/>
            <w:vAlign w:val="center"/>
          </w:tcPr>
          <w:p>
            <w:pPr>
              <w:jc w:val="both"/>
              <w:pStyle w:val="CellColumn"/>
            </w:pPr>
            <w:r>
              <w:rPr>
                <w:rFonts w:hAnsi="Times New Roman" w:cs="Times New Roman"/>
              </w:rPr>
              <w:t xml:space="preserve">72</w:t>
            </w:r>
          </w:p>
        </w:tc>
      </w:tr>
    </w:tbl>
    <w:p>
      <w:pPr>
        <w:jc w:val="left"/>
      </w:pPr>
      <w:r>
        <w:rPr>
          <w:rFonts w:hAnsi="Times New Roman" w:cs="Times New Roman"/>
        </w:rPr>
        <w:t xml:space="preserve"/>
      </w:r>
    </w:p>
    <w:p>
      <w:pPr>
        <w:jc w:val="left"/>
        <w:pStyle w:val="Heading4"/>
      </w:pPr>
      <w:r>
        <w:rPr>
          <w:rFonts w:hAnsi="Times New Roman" w:cs="Times New Roman"/>
        </w:rPr>
        <w:t xml:space="preserve">A629000 ADMINISTRACIJA I UPRAVLJANJE MINISTARSTVA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ustrojstvu i djelokrugu tijela državne uprave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A629000-ADMINISTRACIJA I UPRAVLJANJE MINISTARSTVA</w:t>
            </w:r>
          </w:p>
        </w:tc>
        <w:tc>
          <w:tcPr>
            <w:tcW w:w="1632.96" w:type="dxa"/>
            <w:vAlign w:val="center"/>
          </w:tcPr>
          <w:p>
            <w:pPr>
              <w:jc w:val="both"/>
              <w:pStyle w:val="CellColumn"/>
            </w:pPr>
            <w:r>
              <w:rPr>
                <w:rFonts w:hAnsi="Times New Roman" w:cs="Times New Roman"/>
              </w:rPr>
              <w:t xml:space="preserve">34.734.884</w:t>
            </w:r>
          </w:p>
        </w:tc>
        <w:tc>
          <w:tcPr>
            <w:tcW w:w="1632.96" w:type="dxa"/>
            <w:vAlign w:val="center"/>
          </w:tcPr>
          <w:p>
            <w:pPr>
              <w:jc w:val="both"/>
              <w:pStyle w:val="CellColumn"/>
            </w:pPr>
            <w:r>
              <w:rPr>
                <w:rFonts w:hAnsi="Times New Roman" w:cs="Times New Roman"/>
              </w:rPr>
              <w:t xml:space="preserve">50.054.934</w:t>
            </w:r>
          </w:p>
        </w:tc>
        <w:tc>
          <w:tcPr>
            <w:tcW w:w="1632.96" w:type="dxa"/>
            <w:vAlign w:val="center"/>
          </w:tcPr>
          <w:p>
            <w:pPr>
              <w:jc w:val="both"/>
              <w:pStyle w:val="CellColumn"/>
            </w:pPr>
            <w:r>
              <w:rPr>
                <w:rFonts w:hAnsi="Times New Roman" w:cs="Times New Roman"/>
              </w:rPr>
              <w:t xml:space="preserve">52.966.562</w:t>
            </w:r>
          </w:p>
        </w:tc>
        <w:tc>
          <w:tcPr>
            <w:tcW w:w="1632.96" w:type="dxa"/>
            <w:vAlign w:val="center"/>
          </w:tcPr>
          <w:p>
            <w:pPr>
              <w:jc w:val="both"/>
              <w:pStyle w:val="CellColumn"/>
            </w:pPr>
            <w:r>
              <w:rPr>
                <w:rFonts w:hAnsi="Times New Roman" w:cs="Times New Roman"/>
              </w:rPr>
              <w:t xml:space="preserve">56.883.009</w:t>
            </w:r>
          </w:p>
        </w:tc>
        <w:tc>
          <w:tcPr>
            <w:tcW w:w="1632.96" w:type="dxa"/>
            <w:vAlign w:val="center"/>
          </w:tcPr>
          <w:p>
            <w:pPr>
              <w:jc w:val="both"/>
              <w:pStyle w:val="CellColumn"/>
            </w:pPr>
            <w:r>
              <w:rPr>
                <w:rFonts w:hAnsi="Times New Roman" w:cs="Times New Roman"/>
              </w:rPr>
              <w:t xml:space="preserve">57.751.190</w:t>
            </w:r>
          </w:p>
        </w:tc>
        <w:tc>
          <w:tcPr>
            <w:tcW w:w="510.3" w:type="dxa"/>
            <w:vAlign w:val="center"/>
          </w:tcPr>
          <w:p>
            <w:pPr>
              <w:jc w:val="both"/>
              <w:pStyle w:val="CellColumn"/>
            </w:pPr>
            <w:r>
              <w:rPr>
                <w:rFonts w:hAnsi="Times New Roman" w:cs="Times New Roman"/>
              </w:rPr>
              <w:t xml:space="preserve">105,8</w:t>
            </w:r>
          </w:p>
        </w:tc>
      </w:tr>
    </w:tbl>
    <w:p>
      <w:pPr>
        <w:jc w:val="left"/>
      </w:pPr>
      <w:r>
        <w:rPr>
          <w:rFonts w:hAnsi="Times New Roman" w:cs="Times New Roman"/>
        </w:rPr>
        <w:t xml:space="preserve"/>
      </w:r>
    </w:p>
    <w:p>
      <w:pPr>
        <w:jc w:val="both"/>
        <w:pStyle w:val="Normal"/>
      </w:pPr>
      <w:r>
        <w:rPr>
          <w:rFonts w:hAnsi="Times New Roman" w:cs="Times New Roman"/>
        </w:rPr>
        <w:t xml:space="preserve">Administracija i upravljanje Ministarstva je aktivnost u okviru koje su osigurana sredstva za financiranje rashoda za zaposlene i materijalnih rashoda, potrebna za redovan rad Ministarstva pravosuđa, uprave i digitalne transformacije. 
</w:t>
      </w:r>
    </w:p>
    <w:p>
      <w:pPr>
        <w:jc w:val="both"/>
        <w:pStyle w:val="Normal"/>
      </w:pPr>
      <w:r>
        <w:rPr>
          <w:rFonts w:hAnsi="Times New Roman" w:cs="Times New Roman"/>
        </w:rPr>
        <w:t xml:space="preserve">Od ukupnog plana za 2025. koji je osiguran iz izvora financiranja 11 - Opći prihodi i primici, na plaće i doprinose (konto 311 + 313) se odnosi 34.594.300 €, na ostale rashode za zaposlene (prava po Kolektivnom ugovoru, konto 3121) 1.231.000 €, na naknade za prijevoz na posao i s posla (konto 3212) 1.084.000 €, dok se 16.681.362 € odnosi na materijalne rashode, od čega je najveća stavka zakupnine i najam IP telefona (konto 3235) u iznosu 9.480.062 €, temeljem 71 trenutno aktivnog ugovora o zakupu poslovnog prostora. Sredstva potrebna za plaće i doprinose planirana su, sukladno Uputi Ministarstva financija od 26. rujna 2024., temeljem trenutno važećih propisa, a veća su za 3.290.614 € u odnosu na Tekući plan  2024., zbog primjene odredbi iz novih zakona i uredbi koje su stupile na snagu u proteklom razdoblju te zbog planiranog novog zapošljavanja. Povećan je i iznos plana za ostale rashode za zaposlene (prava po Kolektivnom ugovoru, konto 3121) za 109.194 € u odnosu na Tekući plan 2024. te za naknade za prijevoz, za rad na terenu i odvojeni život u iznosu 179.988 € u odnosu na Tekući plan 2024. Na stavci zakupnine i najam IP telefona (konto 3235) su planirana i sredstva za najam automobila u iznosu 100.000 €, koja su do sada bila planirana na aktivnosti K629234 koja se ukida. Provedbom ove aktivnosti se ostvaruje i cilj ispunjenja financijskih obveza (plaćanje članarina) nastalih temeljem članstva Republike Hrvatske u pojedinim međunarodnim organizacijama, odnosno njihovim radnim skupinama. Sredstva na stavci 3294 Članarine i norme u iznosu 1.019.220 € su planirana za podmirenje financijskih obveza za: - Međunarodni kazneni sud (MKS) u iznosu oko 382.950 € godišnje (godišnji iznos članarine znatno varira zbog primjene posebne formule za izračun članarine); obveza je utvrđena Zakonom o potvrđivanju Rimskog statuta Međunarodnoga kaznenog suda i Zakonom o primjeni Statuta Međunarodnog kaznenog suda i progonu za kaznena djela protiv međunarodnog ratnog i humanitarnog prava, - Regional Anticoruption Initiative (RAI) u iznosu 24.000 € godišnje (Inicijativa za borbu protiv korupcije); obveza je utvrđena u članku 2. memoranduma o suglasnosti koji se odnosi na suradnju u suzbijanju korupcije kroz protukorupcijsku inicijativu jugoistočne Europe, - Radnu skupinu Organizacije za gospodarsku suradnju i razvoj (OECD) protiv podmićivanja u međunarodnim poslovnim transakcijama (Working Group on Bribery in International Business Transactions), u iznosu od 20.700 € godišnje (planirano na razini 2024.). Sukladno Odluci Vlade Republike Hrvatske o prihvaćanju članstva Republike Hrvatske u toj Radnoj skupini (KLASA:022-0/23-04/414, od 25. listopada 2023. godine), Ministarstvo je određeno za nositelja i glavnog koordinatora provedbe obveza koje proizlaze iz članstva u toj Radnoj skupini. Za članstvo u Radnoj skupini se plaća godišnja naknada koja se utvrđuje za svaku kalendarsku godinu, uzimajući u obzir službenu stopu inflacije države domaćina, Francuske Republike, a koja je za 2024. godinu određena u iznosu od 20.700 €, međutim, za sljedeće proračunsko razdoblje se očekuje povećanje godišnje naknade, - Hašku konferenciju za međunarodno privatno pravo (HCCH), u iznosu oko 7.700 € godišnje, - Legicoop-expertise France, u iznosu 650 eura godišnje, - CEP - Confederation of European Probation (3.800 €), - EUROPRIS (10.000 €), - Europsku udrugu zemljišnih knjiga (ELRA), neprofitno udruženje koje se sastoji od 32 organizacije koje predstavljaju zemljišne knjige 25 europskih zemalja. Njezina je glavna svrha razvoj i razumijevanje uloge zemljišnih knjiga na tržištu nekretnina i kapitala. Članarina u iznosu 1.000 € godišnje se odnosi na mogućnost RH na sudjelovanje u radu navedene udruge, razmjeni znanja i iskustava u djelokruga rada zemljišnih knjiga. Isto tako, Republika Hrvatska je, u ovom trenutku, u poodmakloj fazi osnivanja nekoliko European Digital Infrastructure Consortium-a: Alliance for Language Technologies EDIC, Genome EDIC, Blockchain EDIC, Innovative Massive Public Administration interConnected Transformation Services (IMPACTS) EDIC, Mobility and Logistics Data EDIC, Networked Local Digital Twins towards a CitiVerse EDIC, EDIC on AgriFood, Cybersecurity Academy. Iz Europske komisije je u nekoliko navrata naglašeno kako je cilj osnovati sve navedene EDIC-e do kraja 2024. godine i da s početkom 2025. krenu s radom. Za sudjelovanje u EDIC-ima plaćala bi se godišnja članarina, koja nije u potpunosti definirana, nego ovisi od EDIC-a do EDIC-a. Prema dostavljenom pismu namjere, godišnja članarina za Impact EDIC iznosi 35.000 €, a za ALT EDIC 58.420 € (Ministarstvo se već obvezalo plaćati te članarine). Također, Ministarstvo je uključeno u Blockchain EDIC za koji je članarina za 2024. bila 100.000 €, a prema dostupnim informacijama za 2025. bi trebala biti veća za 50.000 €, odnosno iznositi 150.000 €. Za preostalih pet EDIC-a s popisa još nisu točno definirani iznosi članarina, pa je procjena da je za svaki od ovih EDIC-a potrebno osigurati 65.000 godišnje za plaćanje članarina. Sredstva planirana za članarine su za 141.731 € veća u odnosu na Tekući plan 2024. Od ukupno planiranih sredstava za službena putovanja (3211) u iznosu 360.000 €, 45.000 € godišnje je planirano za potrebe: - sudjelovanja na sastancima Radne skupine OECD-a protiv podmićivanja u međunarodnim poslovnim transakcijama. Sastanci Radne skupine protiv podmićivanja održavaju se 4 puta godišnje, a na njima sudjeluje izaslanstvo RH s minimalno 3 predstavnika po sastanku. Procijenjeni troškovi smještaja, prijevoza i dnevnica po sastanku iznose 2.500 € po predstavniku,  - sudjelovanja na sastancima Radne skupine za javni integritet i antikorupciju (PIAC) u okviru Odbora za javno upravljanje. Sastanci se održavaju 2 puta godišnje s minimalno 2 predstavnika u izaslanstvu. Procijenjeni troškovi smještaja, prijevoza i dnevnica po sastanku iznose 2.000 € po predstavniku, - sudjelovanja na sastancima Antikorupcijske mreže OECD-a za Jugoistočnu Europu i Srednju Aziju. Sastanci se održavaju minimalno jedanput godišnje. Procijenjeni troškovi smještaja, prijevoza i dnevnica po sastanku iznose 2.500 € po predstavniku. Planirana sredstva na ovoj stavci su veća za 45.000 € u odnosu na Tekući plan 2024. Na povećanje je, između ostalog, utjecalo i to što je aktivnost bivšeg SDURDD-a A912004 Popularizacija i razvoj digitalnog društva ugašena, a sredstva koja su bila planirana na stavci 3211 (25.000 €), za potrebe sudjelovanja na odborima i konferencijama u organizaciji OECD-a, su planirana u okviru aktivnosti A629000. Plan je napravljen temeljem dinamike izvršenja Financijskog plana za 2024. Od ukupno planiranih 77.000 € na stavci stručno usavršavanje zaposlenika (konto 3213) 20.000 € godišnje je planirano za potrebe izobrazbe službenika iz područja javne nabave da bi mogli dobiti ili obnoviti certifikat. Izobrazba se provodi s ciljem  stjecanja znanja i vještina te sposobnosti radi učinkovite provedbe postupaka javne nabave na svim razinama, a sastoji se od Specijalističkog programa izobrazbe i Programa usavršavanja. Uz navedene programe potrebno je provoditi usavršavanje službenika putem međunarodne razmjene iskustava i vještina kroz različite seminare i panele. Sredstva na ovoj stavci je potrebno osigurati radi kontinuiranog usavršavanja službenika sukladno nadležnostima za obavljanje poslova te, među ostalim, i zbog činjenice da je u postupcima napredovanja, prema Zakonu o državnim službenicima, potreban podatak o edukacijama, pa je u tom smislu potrebno i stvoriti pretpostavke za njih. Za potrebe edukacije za digitalni video i UX dizajner (dizajner korisničkog sučelja) planirano je 5.000 € godišnje. Usluga edukacije za izradu digitalnog video sadržaja i dizajna potrebna je kako bi se službenici Ministarstva educirali za pripremu video i vizualnog sadržaja za potrebe objave na službenoj mrežnoj stranici i na službenim društvenim mrežama Ministarstva. Osim toga, za potrebe edukacija za fotografiranje i obradu fotografija na ovoj stavci je planirano 4.500 € u 2026. Planiranim sredstvima će se podmiriti troškovi edukacije zaposlenika Ministarstva u području fotografiranja i obrade fotografija, što je nužno za kvalitetno dokumentiranje i prikazivanje aktivnosti Ministarstva. Edukacija će omogućiti unaprjeđenje vještina zaposlenika u korištenju profesionalnih alata za fotografiranje i obradu, što će rezultirati poboljšanom kvalitetom vizualnih materijala, osobito u kontekstu digitalnih medija i društvenih mreža. Planirana sredstva na stavci 3213 su u razini Tekućeg plana za 2024.
</w:t>
      </w:r>
    </w:p>
    <w:p>
      <w:pPr>
        <w:jc w:val="both"/>
        <w:pStyle w:val="Normal"/>
      </w:pPr>
      <w:r>
        <w:rPr>
          <w:rFonts w:hAnsi="Times New Roman" w:cs="Times New Roman"/>
        </w:rPr>
        <w:t xml:space="preserve">Na stavci Energija (konto 3223) je planirano 800.000 € godišnje, što je smanjenje u odnosu na Tekući plan 2024. koji iznosi 1.077.075 €. Tijekom 2024. su se s ove stavke podmirivale ugovorne obveze  bivšeg SDURDD-a zato je plan trebalo povećati prilikom izrade Izmjena i dopuna financijskog plana Ministarstva za 2024. Plan za 2025. je napravljen temeljem dinamike izvršenja u 2024. Na stavci 3231 su planirana sredstva za usluge telefona, interneta, pošte i prijevoza u iznosu 500.000 € (pokretna i nepokretna mreža, održavanje stare centrale,...) te sredstva u iznosu 116.510 €, koja su planirana za ugovore bivšeg SDURDD-a ( Usluga CIX (Croatian Internet Excange) 10.600 €, Usluga stalnog pristupa internetu - grupa 1 36.600 €, Usluga stalnog pristupa internetu - grupa 2  61.100 €, nepokretna mreža 8.010 €, pošta  200 €). Planirani iznos je za 66.510 € veći u odnosu na Projekciju 2025., s obzirom na dinamiku izvršenja te ugovore bivšeg SDURDD-a koji su uključeni u Financijski plan Ministarstva od ove godine. Od ukupno planiranih 165.470 € na stavci usluge promidžbe i informiranja (konto 3233):
</w:t>
      </w:r>
    </w:p>
    <w:p>
      <w:pPr>
        <w:jc w:val="both"/>
        <w:pStyle w:val="Normal"/>
      </w:pPr>
      <w:r>
        <w:rPr>
          <w:rFonts w:hAnsi="Times New Roman" w:cs="Times New Roman"/>
        </w:rPr>
        <w:t xml:space="preserve">- 70.000 € je planirano za promidžbu i informiranje digitalnog društva i popularizaciju informatičke pismenosti,
</w:t>
      </w:r>
    </w:p>
    <w:p>
      <w:pPr>
        <w:jc w:val="both"/>
        <w:pStyle w:val="Normal"/>
      </w:pPr>
      <w:r>
        <w:rPr>
          <w:rFonts w:hAnsi="Times New Roman" w:cs="Times New Roman"/>
        </w:rPr>
        <w:t xml:space="preserve">- 26.630 € godišnje se odnose na uslugu integriranog modela praćenja hrvatskih i inozemnih medija, analizu medija, arhive i medijskih baza te izradu izvješća. Stalno praćenje hrvatskih medija (tiskani, online, TV, radio) s ciljem prikupljanja relevantnih objava vezanih uz rad Ministarstva pravosuđa, uprave i digitalne transformacije ili specifične teme. Dubinska analiza medijskih objava (ton, učestalost, utjecaj) i njihovo organizirano pohranjivanje u baze podataka radi praćenja dugoročnih trendova i reputacijskih rizika. Priprema redovitih izvješća o medijskom pokrivanju s ključnim nalazima, statistikama i preporukama za strateško upravljanje komunikacijom. Arhiva i baze medija omogućuju pristup arhivskim materijalima i medijskim bazama koje omogućuju detaljno istraživanje povijesnih podataka i trendova za potrebe internih analiza i pripremu komunikacijskih i informativnih materijala. Redovna i ad hoc izrada detaljnih izvješća na temelju prikupljenih podataka omogućuje strateško planiranje komunikacija donošenje informiranih odluka te upravljanje kriznim situacijama. Ova integrirana usluga je ključna za učinkovito informiranje i upravljanje percepcijom Ministarstva u javnosti kao i za kvalitetno planiranje budućih komunikacijskih aktivnosti,
</w:t>
      </w:r>
    </w:p>
    <w:p>
      <w:pPr>
        <w:jc w:val="both"/>
        <w:pStyle w:val="Normal"/>
      </w:pPr>
      <w:r>
        <w:rPr>
          <w:rFonts w:hAnsi="Times New Roman" w:cs="Times New Roman"/>
        </w:rPr>
        <w:t xml:space="preserve">- za usluge izrade informativnih i promidžbenih materijala za Ministarstvo (audio, video, brošure, leci, softver) je planirano 35.000 € godišnje. Usluge izrade informativnih i promidžbenih materijala za Ministarstvo uključuju kreiranje tiskovnih materijala poput brošura, letaka i drugih promotivnih materijala za informiranje javnosti o aktivnostima Ministarstva. Također, obuhvaćaju produkciju multimedijalnih sadržaja, uključujući audio i video materijale koji služe za promicanje aktivnosti Ministarstva.  Planirana sredstva su veća u odnosu na prethodno razdoblje, zbog većeg opsega poslova Ministarstva, osobito u kontekstu digitalne tranzicije, posebno jer se procjenjuje značajan porast potreba za informiranjem i promidžbenim aktivnostima. To će uključivati izradu dodatnih promotivnih i edukativnih materijala u tiskovnim i digitalnim formatima, kao što su brošure, leci, infografike te drugi materijali namijenjeni informiranju javnosti o novim projektima i inicijativama. U skladu s time, za razdoblje od 2025. do 2027. godine procijenjeno je da će biti potrebno osigurati godišnje više sredstava za ovu stavku. Povećanje sredstava omogućit će pravovremenu i kvalitetnu proizvodnju informativnih materijala, osiguravajući kontinuiranu podršku komunikacijskim aktivnostima Ministarstva te širenje svijesti o važnosti digitalne transformacije,
</w:t>
      </w:r>
    </w:p>
    <w:p>
      <w:pPr>
        <w:jc w:val="both"/>
        <w:pStyle w:val="Normal"/>
      </w:pPr>
      <w:r>
        <w:rPr>
          <w:rFonts w:hAnsi="Times New Roman" w:cs="Times New Roman"/>
        </w:rPr>
        <w:t xml:space="preserve">- za uslugu nadogradnje mrežne stranice Ministarstva planirano je 3.500 €. Ministarstvo na svojoj mrežnoj stranici objavljuje informacije temeljem Zakona o pravu na pristup informacijama. Također, objavljuju se informacije o radu Ministarstva i sve one informacije koje su bitne za javnost, odnosno građane. Kako su od ove godine nadležnosti Ministarstva povećane, povećala se i količina sadržaja na mrežnoj stranici. Stoga je potrebna redovita nadogradnja službene mrežne stranice Ministarstva. Planirana sredstva na stavci usluge promidžbe i informiranja su za 79.458 € veća u odnosu na Tekući plan 2024., jer je aktivnost bivšeg SDURDD-a A912004 Popularizacija i razvoj digitalnog društva ugašena, a sredstva koja su bila planirana na stavci 3233 (70.000 €), za  promidžbu i informiranje digitalnog društva i popularizaciju informatičke pismenosti, su planirana u okviru aktivnosti A629000. Bivši SDURDD je bio stručni nositelj izrade Zakona o pristupačnosti mrežnih stranica i programskih rješenja za pokretne uređaje tijela javnog sektora (na snazi od 23. rujna 2019.), kojim se transponira Direktiva (EU) 2016/2102 o pristupačnosti internetskih stranica i mobilnih aplikacija tijela javnog sektora. Zakon propisuje nužnost uporabe svjetskih standarda prilikom izrade mrežnih stranica, njihovog izgleda, načina navigacije kroz sadržaj, pretraživanje i strukturu. Sredstva su planirana za provedbu komunikacijskih aktivnosti podizanja svijesti o digitalnoj pristupačnosti, koja osigurava da i osobe s invaliditetom nemaju nikakvih prepreka u interakciji ili pristupu digitalnom sadržaju.  Za obvezne sistematske preglede službenika/namještenika (konto 3236) je planirano 60.000 €. Procjena je napravljena temeljem podataka o zaposlenima te primjenom odredbi Kolektivnog ugovora za državne službenike i namještenike kojima se utvrđuje trošak sistematskog pregleda za 1 službenika/namještenika u iznosu 159 €. Planirana sredstva su na razini Tekućeg plana za 2024.
</w:t>
      </w:r>
    </w:p>
    <w:p>
      <w:pPr>
        <w:jc w:val="both"/>
        <w:pStyle w:val="Normal"/>
      </w:pPr>
      <w:r>
        <w:rPr>
          <w:rFonts w:hAnsi="Times New Roman" w:cs="Times New Roman"/>
        </w:rPr>
        <w:t xml:space="preserve">Na stavci intelektualne i osobne usluge (konto 3237) je planirano 290.000 €. Planirana sredstva su povećana u odnosu na Tekući plan 2024. za 116.309 €, jer se povećao broj studentskih ugovora te usluga prijevoda, a najviše zbog toga jer je aktivnost bivšeg SDURDD-a A912004 Popularizacija i razvoj digitalnog društva ugašena, a sredstva koja su bila planirana na stavci 3237 (50.000 €), za intelektualne usluge za izradu strategija, certifikacija i usklađivanje sa standardima informacijske sigurnosti, studija i metodologija za praćenje razvoja digitalnog društva te stručnih standarda, propisa i preporuka, su planirana u okviru aktivnosti A629000. Na stavci ostale usluge (konto 3239) je planirano 1.700.000 €, što je za 77.502 € manje od Tekućeg plana 2024. Iz sredstava planiranih na ovoj stavci podmiruju se obveze po raznim ugovorima kao što su usluge čuvanja imovine i osoba, usluge čišćenja i održavanja poslovnih prostorija i ostalih usluga (npr. za nabavu licenci za programe poput Adobe Creative Cloud, koji su ključni alati za izradu vizuala za društvene mreže Ministarstva, kao i za uređivanje fotografija i video snimaka, 12.700 €).
</w:t>
      </w:r>
    </w:p>
    <w:p>
      <w:pPr>
        <w:jc w:val="both"/>
        <w:pStyle w:val="Normal"/>
      </w:pPr>
      <w:r>
        <w:rPr>
          <w:rFonts w:hAnsi="Times New Roman" w:cs="Times New Roman"/>
        </w:rPr>
        <w:t xml:space="preserve">Na stavci reprezentacija (konto 3293) je planirano 70.500 €, što je povećanje u iznosu 9.938 € u odnosu na Tekući plan 2024., jer je aktivnost bivšeg SDURDD-a A912004 Popularizacija i razvoj digitalnog društva ugašena, a sredstva koja su bila planirana na stavci 3293 (10.000 €), u najvećoj mjeri za predsjedanje Vijećem za državnu informacijsku infrastrukturu, su planirana u okviru aktivnosti A629000. Od ukupno planiranih 75.000 € za pristojbe i naknade (konto 3295) 60.000 € godišnje se odnosi na sredstva koja je potrebno osigurati u slučaju podnesenih žalbi u postupcima javne nabave te mogućih isplata naknada troškova ponuditeljima, ukoliko žalba  bude usvojena, a koje rješenjima utvrđuje Državna komisija za kontrolu postupaka javne nabave. Sukladno članku 431., stavku 3. Zakona o javnoj nabavi stranka na čiju je štetu žalbeni postupak okončan dužna je protivnoj stranci nadoknaditi opravdane troškove koji su nastali zbog sudjelovanja u žalbenom postupku. Visina naknade u pojedinom postupku ovisi o iznosu procijenjene vrijednosti nabave. Planirana sredstva su za 3.656 € manja u odnosu na Tekući plan 2024. U okviru ove aktivnosti planirana su sredstava za potrebe osiguravanja usluge pružanja emocionalne podrške prijaviteljima nepravilnosti (konto 3811), u skladu s Pravilnikom o načinu pružanja emocionalne podrške prijaviteljima nepravilnosti u iznosu 20.000 € na godišnjoj razini. Nakon stupanja na snagu Pravilnika o načinu pružanja emocionalne podrške prijaviteljima nepravilnosti (rujan 2023.), u siječnju 2024. je objavljen Javni poziv za financiranje programa pružanja emocionalne podrške prijaviteljima nepravilnosti, za pravne osobe kojima će biti povjereno pružanje emocionalne podrške. Ugovor je potpisan s udrugom Rehabilitacijski centar za stres i traumu iz Zagreba, a provedba programa će se financirati u iznosu 20.000 € godišnje.
</w:t>
      </w:r>
    </w:p>
    <w:p>
      <w:pPr>
        <w:jc w:val="both"/>
        <w:pStyle w:val="Normal"/>
      </w:pPr>
      <w:r>
        <w:rPr>
          <w:rFonts w:hAnsi="Times New Roman" w:cs="Times New Roman"/>
        </w:rPr>
        <w:t xml:space="preserve">Iz Vlastitih prihoda (IF 31) u iznosu 10.000 €, koji se ostvaruju od najma samouslužnih aparata za distribuciju toplih i hladnih napitaka i snack proizvoda, od otkupa praznih originalnih tonera i otkupa mobitela te od čajne kuhinje, podmiruju se materijalni rashodi za redovno funkcioniranje Ministarstva, odnosno za nabavu materijala i sirovina potrebnih za rad čajne kuhinje, troškove energije, nabavu sitne opreme i dr. 
</w:t>
      </w:r>
    </w:p>
    <w:p>
      <w:pPr>
        <w:jc w:val="both"/>
        <w:pStyle w:val="Normal"/>
      </w:pPr>
      <w:r>
        <w:rPr>
          <w:rFonts w:hAnsi="Times New Roman" w:cs="Times New Roman"/>
        </w:rPr>
        <w:t xml:space="preserve">Iz ostvarenih Ostalih prihoda za posebne namjene (IF 43) u iznosu 308.100 € se, najvećim dijelom, podmiruju troškovi naknada predsjedniku, članovima i zamjenicima članova ispitnih povjerenstava za polaganje pravosudnog ispita, posebnog stručnog ispita za ovlaštene zemljišnoknjižne referente, javnobilježničkog ispita i stručnog ispita za stečajne upravitelje, za nabavu uredskog materijala, troškove reprezentacije, najam prostora i dr.
</w:t>
      </w:r>
    </w:p>
    <w:p>
      <w:pPr>
        <w:jc w:val="both"/>
        <w:pStyle w:val="Normal"/>
      </w:pPr>
      <w:r>
        <w:rPr>
          <w:rFonts w:hAnsi="Times New Roman" w:cs="Times New Roman"/>
        </w:rPr>
        <w:t xml:space="preserve">Sredstva planirana na IF 51 Pomoći EU u iznosu 40.000 € se odnose na refundacije putnih troškova delegata Vijeća EU.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Daljnje unapređene transparentnosti rada putem komunikacije s medijima i građanima</w:t>
            </w:r>
          </w:p>
        </w:tc>
        <w:tc>
          <w:tcPr>
            <w:tcW w:w="2245.32" w:type="dxa"/>
            <w:vAlign w:val="center"/>
          </w:tcPr>
          <w:p>
            <w:pPr>
              <w:jc w:val="both"/>
              <w:pStyle w:val="CellColumn"/>
            </w:pPr>
            <w:r>
              <w:rPr>
                <w:rFonts w:hAnsi="Times New Roman" w:cs="Times New Roman"/>
              </w:rPr>
              <w:t xml:space="preserve">Proaktivna objava informacija i vizualnih sadržaja kako bi javnost bila informirana o radu Ministarstva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10</w:t>
            </w:r>
          </w:p>
        </w:tc>
      </w:tr>
      <w:tr>
        <w:trPr>
          <w:cantSplit/>
        </w:trPr>
        <w:tc>
          <w:tcPr>
            <w:tcW w:w="2245.32" w:type="dxa"/>
            <w:vAlign w:val="center"/>
          </w:tcPr>
          <w:p>
            <w:pPr>
              <w:jc w:val="both"/>
              <w:pStyle w:val="CellColumn"/>
            </w:pPr>
            <w:r>
              <w:rPr>
                <w:rFonts w:hAnsi="Times New Roman" w:cs="Times New Roman"/>
              </w:rPr>
              <w:t xml:space="preserve">Organizacija redovitih konferencija za medije, tematskih konferencija za medije i okruglih stolova</w:t>
            </w:r>
          </w:p>
        </w:tc>
        <w:tc>
          <w:tcPr>
            <w:tcW w:w="2245.32" w:type="dxa"/>
            <w:vAlign w:val="center"/>
          </w:tcPr>
          <w:p>
            <w:pPr>
              <w:jc w:val="both"/>
              <w:pStyle w:val="CellColumn"/>
            </w:pPr>
            <w:r>
              <w:rPr>
                <w:rFonts w:hAnsi="Times New Roman" w:cs="Times New Roman"/>
              </w:rPr>
              <w:t xml:space="preserve">Pravovremeno i točno informiranje javnosti o aktivnostima Ministarstva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5</w:t>
            </w:r>
          </w:p>
        </w:tc>
      </w:tr>
      <w:tr>
        <w:trPr>
          <w:cantSplit/>
        </w:trPr>
        <w:tc>
          <w:tcPr>
            <w:tcW w:w="2245.32" w:type="dxa"/>
            <w:vAlign w:val="center"/>
          </w:tcPr>
          <w:p>
            <w:pPr>
              <w:jc w:val="both"/>
              <w:pStyle w:val="CellColumn"/>
            </w:pPr>
            <w:r>
              <w:rPr>
                <w:rFonts w:hAnsi="Times New Roman" w:cs="Times New Roman"/>
              </w:rPr>
              <w:t xml:space="preserve">Provedba savjetovanja sa zanteresiranom javnošću</w:t>
            </w:r>
          </w:p>
        </w:tc>
        <w:tc>
          <w:tcPr>
            <w:tcW w:w="2245.32" w:type="dxa"/>
            <w:vAlign w:val="center"/>
          </w:tcPr>
          <w:p>
            <w:pPr>
              <w:jc w:val="both"/>
              <w:pStyle w:val="CellColumn"/>
            </w:pPr>
            <w:r>
              <w:rPr>
                <w:rFonts w:hAnsi="Times New Roman" w:cs="Times New Roman"/>
              </w:rPr>
              <w:t xml:space="preserve">Uključivanje javnosti u postupak donošenja propisa putem objava na portalu e-Savjetovanje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67</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r>
      <w:tr>
        <w:trPr>
          <w:cantSplit/>
        </w:trPr>
        <w:tc>
          <w:tcPr>
            <w:tcW w:w="2245.32" w:type="dxa"/>
            <w:vAlign w:val="center"/>
          </w:tcPr>
          <w:p>
            <w:pPr>
              <w:jc w:val="both"/>
              <w:pStyle w:val="CellColumn"/>
            </w:pPr>
            <w:r>
              <w:rPr>
                <w:rFonts w:hAnsi="Times New Roman" w:cs="Times New Roman"/>
              </w:rPr>
              <w:t xml:space="preserve">Broj riješenih predmeta  temeljem Zakona o pravu na pristup informacijama</w:t>
            </w:r>
          </w:p>
        </w:tc>
        <w:tc>
          <w:tcPr>
            <w:tcW w:w="2245.32" w:type="dxa"/>
            <w:vAlign w:val="center"/>
          </w:tcPr>
          <w:p>
            <w:pPr>
              <w:jc w:val="both"/>
              <w:pStyle w:val="CellColumn"/>
            </w:pPr>
            <w:r>
              <w:rPr>
                <w:rFonts w:hAnsi="Times New Roman" w:cs="Times New Roman"/>
              </w:rPr>
              <w:t xml:space="preserve">Rješavanje predmeta vezanih uz ostvarivanje prava na pristup informacijama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107</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r>
        <w:trPr>
          <w:cantSplit/>
        </w:trPr>
        <w:tc>
          <w:tcPr>
            <w:tcW w:w="2245.32" w:type="dxa"/>
            <w:vAlign w:val="center"/>
          </w:tcPr>
          <w:p>
            <w:pPr>
              <w:jc w:val="both"/>
              <w:pStyle w:val="CellColumn"/>
            </w:pPr>
            <w:r>
              <w:rPr>
                <w:rFonts w:hAnsi="Times New Roman" w:cs="Times New Roman"/>
              </w:rPr>
              <w:t xml:space="preserve">Unaprjeđenje procesa pružanja podrške krajnjim korisnicima sustava e-Građani</w:t>
            </w:r>
          </w:p>
        </w:tc>
        <w:tc>
          <w:tcPr>
            <w:tcW w:w="2245.32" w:type="dxa"/>
            <w:vAlign w:val="center"/>
          </w:tcPr>
          <w:p>
            <w:pPr>
              <w:jc w:val="both"/>
              <w:pStyle w:val="CellColumn"/>
            </w:pPr>
            <w:r>
              <w:rPr>
                <w:rFonts w:hAnsi="Times New Roman" w:cs="Times New Roman"/>
              </w:rPr>
              <w:t xml:space="preserve">Broj održanih edukacija namijenjenih tijelima koja koriste jedinstveni kontakt centar</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12</w:t>
            </w:r>
          </w:p>
        </w:tc>
        <w:tc>
          <w:tcPr>
            <w:tcW w:w="918.54" w:type="dxa"/>
            <w:vAlign w:val="center"/>
          </w:tcPr>
          <w:p>
            <w:pPr>
              <w:jc w:val="both"/>
              <w:pStyle w:val="CellColumn"/>
            </w:pPr>
            <w:r>
              <w:rPr>
                <w:rFonts w:hAnsi="Times New Roman" w:cs="Times New Roman"/>
              </w:rPr>
              <w:t xml:space="preserve">16</w:t>
            </w:r>
          </w:p>
        </w:tc>
      </w:tr>
      <w:tr>
        <w:trPr>
          <w:cantSplit/>
        </w:trPr>
        <w:tc>
          <w:tcPr>
            <w:tcW w:w="2245.32" w:type="dxa"/>
            <w:vAlign w:val="center"/>
          </w:tcPr>
          <w:p>
            <w:pPr>
              <w:jc w:val="both"/>
              <w:pStyle w:val="CellColumn"/>
            </w:pPr>
            <w:r>
              <w:rPr>
                <w:rFonts w:hAnsi="Times New Roman" w:cs="Times New Roman"/>
              </w:rPr>
              <w:t xml:space="preserve">Koordinacija tijela odgovornih za sadržaj i podatke koji se objavljuju na Središnjem državnom portalu</w:t>
            </w:r>
          </w:p>
        </w:tc>
        <w:tc>
          <w:tcPr>
            <w:tcW w:w="2245.32" w:type="dxa"/>
            <w:vAlign w:val="center"/>
          </w:tcPr>
          <w:p>
            <w:pPr>
              <w:jc w:val="both"/>
              <w:pStyle w:val="CellColumn"/>
            </w:pPr>
            <w:r>
              <w:rPr>
                <w:rFonts w:hAnsi="Times New Roman" w:cs="Times New Roman"/>
              </w:rPr>
              <w:t xml:space="preserve">Broj održanih koordinacija s tijelima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8</w:t>
            </w:r>
          </w:p>
        </w:tc>
      </w:tr>
    </w:tbl>
    <w:p>
      <w:pPr>
        <w:jc w:val="left"/>
      </w:pPr>
      <w:r>
        <w:rPr>
          <w:rFonts w:hAnsi="Times New Roman" w:cs="Times New Roman"/>
        </w:rPr>
        <w:t xml:space="preserve"/>
      </w:r>
    </w:p>
    <w:p>
      <w:pPr>
        <w:jc w:val="left"/>
        <w:pStyle w:val="Heading4"/>
      </w:pPr>
      <w:r>
        <w:rPr>
          <w:rFonts w:hAnsi="Times New Roman" w:cs="Times New Roman"/>
        </w:rPr>
        <w:t xml:space="preserve">A629150 IZVRŠAVANJE PRAVOMOĆNIH SUDSKIH ODLUKA, NAGODBI I OVRHA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državnom odvjetništvu, Zakon o državnim službenicima, Zakon o obveznim odnosima, Kolektivni ugovor za državne službenike i namještenike, Zakon o kaznenom postupku, Glava XXX. i u svezi članka 573. alineja 3. Zakona o kaznenom postupku, Zakon o parničnom postupku, Ovršni zakon, Odluka o podmirenju troškova postupaka koje protiv hrvatskih državljana vode tijela Republike Slovenije na temelju propisa Republike Slovenije povezanih uz jednostranu primjenu arbitražne odluke, Zakon o izvršavanju kazne zatvora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A629150-IZVRŠAVANJE PRAVOMOĆNIH SUDSKIH ODLUKA, NAGODBI I OVRHA</w:t>
            </w:r>
          </w:p>
        </w:tc>
        <w:tc>
          <w:tcPr>
            <w:tcW w:w="1632.96" w:type="dxa"/>
            <w:vAlign w:val="center"/>
          </w:tcPr>
          <w:p>
            <w:pPr>
              <w:jc w:val="both"/>
              <w:pStyle w:val="CellColumn"/>
            </w:pPr>
            <w:r>
              <w:rPr>
                <w:rFonts w:hAnsi="Times New Roman" w:cs="Times New Roman"/>
              </w:rPr>
              <w:t xml:space="preserve">5.168.190</w:t>
            </w:r>
          </w:p>
        </w:tc>
        <w:tc>
          <w:tcPr>
            <w:tcW w:w="1632.96" w:type="dxa"/>
            <w:vAlign w:val="center"/>
          </w:tcPr>
          <w:p>
            <w:pPr>
              <w:jc w:val="both"/>
              <w:pStyle w:val="CellColumn"/>
            </w:pPr>
            <w:r>
              <w:rPr>
                <w:rFonts w:hAnsi="Times New Roman" w:cs="Times New Roman"/>
              </w:rPr>
              <w:t xml:space="preserve">5.461.624</w:t>
            </w:r>
          </w:p>
        </w:tc>
        <w:tc>
          <w:tcPr>
            <w:tcW w:w="1632.96" w:type="dxa"/>
            <w:vAlign w:val="center"/>
          </w:tcPr>
          <w:p>
            <w:pPr>
              <w:jc w:val="both"/>
              <w:pStyle w:val="CellColumn"/>
            </w:pPr>
            <w:r>
              <w:rPr>
                <w:rFonts w:hAnsi="Times New Roman" w:cs="Times New Roman"/>
              </w:rPr>
              <w:t xml:space="preserve">4.087.600</w:t>
            </w:r>
          </w:p>
        </w:tc>
        <w:tc>
          <w:tcPr>
            <w:tcW w:w="1632.96" w:type="dxa"/>
            <w:vAlign w:val="center"/>
          </w:tcPr>
          <w:p>
            <w:pPr>
              <w:jc w:val="both"/>
              <w:pStyle w:val="CellColumn"/>
            </w:pPr>
            <w:r>
              <w:rPr>
                <w:rFonts w:hAnsi="Times New Roman" w:cs="Times New Roman"/>
              </w:rPr>
              <w:t xml:space="preserve">4.067.600</w:t>
            </w:r>
          </w:p>
        </w:tc>
        <w:tc>
          <w:tcPr>
            <w:tcW w:w="1632.96" w:type="dxa"/>
            <w:vAlign w:val="center"/>
          </w:tcPr>
          <w:p>
            <w:pPr>
              <w:jc w:val="both"/>
              <w:pStyle w:val="CellColumn"/>
            </w:pPr>
            <w:r>
              <w:rPr>
                <w:rFonts w:hAnsi="Times New Roman" w:cs="Times New Roman"/>
              </w:rPr>
              <w:t xml:space="preserve">4.262.180</w:t>
            </w:r>
          </w:p>
        </w:tc>
        <w:tc>
          <w:tcPr>
            <w:tcW w:w="510.3" w:type="dxa"/>
            <w:vAlign w:val="center"/>
          </w:tcPr>
          <w:p>
            <w:pPr>
              <w:jc w:val="both"/>
              <w:pStyle w:val="CellColumn"/>
            </w:pPr>
            <w:r>
              <w:rPr>
                <w:rFonts w:hAnsi="Times New Roman" w:cs="Times New Roman"/>
              </w:rPr>
              <w:t xml:space="preserve">74,8</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podmiruju se obveze koje za Republiku Hrvatsku, Ministarstvo pravosuđa i uprave, proizlaze iz pravomoćnih sudskih odluka te sklopljenih sudskih i izvansudskih nagodbi. U slučaju podnesene tužbe protiv RH provodi se parnični postupak te se donosi presuda ili sklapa sudska nagodba, koja za RH može stvoriti financijsku obvezu prema tužitelju. Osoba koja namjerava podnijeti tužbu protiv Republike Hrvatske dužna se, prije podnošenja tužbe, obratiti zahtjevom za mirno rješenje spora državnom odvjetništvu, koje je stvarno i mjesno nadležno za zastupanje na sudu pred kojim namjerava podnijeti tužbu protiv Republike Hrvatske.  Ista obveza se odnosi i na Republiku Hrvatsku ako namjerava podnijeti tužbu protiv fizičke ili pravne osobe s prebivalištem ili sjedištem u Republici Hrvatskoj. Ako se spor ne riješi mirnim putem, odnosno ako Republika Hrvatska putem nadležnog državnog odvjetništva i stranka ne sklope nagodbu, provodi se odgovarajući sudski postupak koji može rezultirati donošenjem sudske odluke (presude, rješenja) ili sklapanjem nagodbe koja za Republiku Hrvatsku može stvoriti financijsku obvezu. Pravomoćne sudske odluke i nagodbe (sudske i izvansudske), koje Ministarstvo zaprima na postupanje i isplatu od nadležnih državnih odvjetništava, pretežno se odnose na radne sporove zaposlenika Ministarstva pravosuđa i uprave, zaposlenika pravosudnih tijela (pravosudnih dužnosnika i državnih službenika i namještenika) i kaznenih tijela, a u manjem dijelu na odštetne zahtjeve zbog utvrđenog nezakonitog rada suda. Za podmirenje troškova sudskih postupaka (konto 3296) u 2025. je planirano 1.437.500 €, a u 2026. i 2027. po 1.637.500 €. Potencijalne obveze po sudskim sporovima nije moguće točno odrediti, jer nastanak obveze plaćanja ovisi o trajanju sudskog spora, radnjama koje se provode te ishodu spora. Stoga je procjena potrebnih sredstava napravljena prema evidencijama koje se vode u Ministarstvu te povijesnim podacima. Na stavci intelektualne i osobne usluge (konto 3237) su planirana sredstva za plaćanje troškova odvjetničkih usluga za zastupanje hrvatskih državljana (ribari), u postupcima koje protiv njih vode tijela Republike Slovenije na temelju propisa Republike Slovenije povezanih uz jednostranu primjenu arbitražne odluke i troškova zastupanja hrvatskih ribara pred Europskim sudom za ljudska prava te ostalih sudskih troškova. Za tu svrhu je planirano 830.000 €, što je za 570.000 € manje u odnosu na Tekući plan 2024. Planirani iznos na ovoj stavci je samo procjena, jer priljev predmeta ovisi o dinamici pokretanja i vođenja postupaka protiv hrvatskih ribara u Republici Sloveniji te pokretanja postupaka pred Europskim sudom za ljudska prava (ESLJP). U predmetima u kojima su postupci pokrenuti temeljem prekršajnih naloga koje je izdao MUP Republike Slovenije, kada je Viši sud odlučivao o žalbi nakon pristupanja Republike Hrvatske Schengenskom sporazumu dana 16. siječnja 2024. godine, istovremeno se podnose ustavne tužbe pred Ustavnim sudom Republike Slovenije i zahtjevi za pokretanje postupaka pred Europskim sudom za ljudska prava. Dakle, kod ovakvih predmeta se za svaki ulaže jedna ustavna tužba te dva zahtjeva za pokretanje postupka pred ESLJP.  U postupcima koji su pokrenuti protiv hrvatskih ribara temeljem prekršajnih naloga ili rješenja o prekršaju slovenskih ribarskih inspektora i koji su pokrenuti temeljem prekršajnih naloga MUP-a Republike Slovenije, kada je Viši sud odlučivao o žalbi prije pristupanja Republike Hrvatske Schengenskom sporazumu više se ne podnose ustavne tužbe. U navedenim predmetima se odmah po ishođenju odluka Višeg suda podnose zahtjevi za pokretanje postupaka pred ESLJP, bez ulaganja ustavnih tužbi, za koje postupke je potrebno osigurati veća sredstva. Potrebno je naglasiti da nadležna slovenska tijela i dalje izdaju hrvatskim ribarima prekršajne naloge, pa je tako samo u 2024. godini, do 23. rujna 2024., ukupno je zaprimljeno 146 novih platnih naloga. Izdani prekršajni nalozi povećavaju dinamiku i priljev predmeta u kojima će se ulagati pravna sredstva, što povećava troškove. Usprkos svemu navedenome, može se očekivati smanjenje broja predmeta u razdoblju 2026.-2027. zbog čega su i Projekcije za 2026. i 2027. manje. Odvjetničko društvo Kozinc i partneri Ministarstvu ispostavlja račune za odvjetničke usluge (ulaganje žalbi, pisanje izjava, najava, ulaganja ustavnih tužbi i dr.), a koji se izdaju sukladno slovenskoj odvjetničkoj tarifi. Na stavci naknade građanima i kućanstvima u novcu (konto 3721) planirano je 1.666.000 €, za naknade zbog povrede prava na suđenje u razumnom roku, troškove delegacija, naknade Financijskoj agenciji te naknade za neutemeljena uhićenja i neopravdane osude temeljem sudskih presuda, nagodbi i rješenja  u mirnom postupku. Naknade se isplaćuju kontinuirano, tijekom cijele godine. Planirana sredstva u okviru ove aktivnosti (IF 11) iznose 4.083.500 € za 2025., 4.063.500 € za 2026. i 4.258.080 € za 2027. U okviru ove aktivnosti su planirana i sredstva koja se ostvaruju iz IF 52 Ostale pomoći i darovnice u iznosu 4.100 €godišnje, a koja su, do sada, planirana u okviru aktivnosti A830013 Rješavanje sporova o pravima općina, gradova i županija u postupku preuzimanja imovine i obveza, koja se ovim ukida.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riješenih predmeta u tekućoj godini</w:t>
            </w:r>
          </w:p>
        </w:tc>
        <w:tc>
          <w:tcPr>
            <w:tcW w:w="2245.32" w:type="dxa"/>
            <w:vAlign w:val="center"/>
          </w:tcPr>
          <w:p>
            <w:pPr>
              <w:jc w:val="both"/>
              <w:pStyle w:val="CellColumn"/>
            </w:pPr>
            <w:r>
              <w:rPr>
                <w:rFonts w:hAnsi="Times New Roman" w:cs="Times New Roman"/>
              </w:rPr>
              <w:t xml:space="preserve">Smanjenje broja predmeta u tekućoj godini</w:t>
            </w:r>
          </w:p>
        </w:tc>
        <w:tc>
          <w:tcPr>
            <w:tcW w:w="918.54" w:type="dxa"/>
            <w:vAlign w:val="center"/>
          </w:tcPr>
          <w:p>
            <w:pPr>
              <w:jc w:val="both"/>
              <w:pStyle w:val="CellColumn"/>
            </w:pPr>
            <w:r>
              <w:rPr>
                <w:rFonts w:hAnsi="Times New Roman" w:cs="Times New Roman"/>
              </w:rPr>
              <w:t xml:space="preserve">broj predmeta</w:t>
            </w:r>
          </w:p>
        </w:tc>
        <w:tc>
          <w:tcPr>
            <w:tcW w:w="918.54" w:type="dxa"/>
            <w:vAlign w:val="center"/>
          </w:tcPr>
          <w:p>
            <w:pPr>
              <w:jc w:val="both"/>
              <w:pStyle w:val="CellColumn"/>
            </w:pPr>
            <w:r>
              <w:rPr>
                <w:rFonts w:hAnsi="Times New Roman" w:cs="Times New Roman"/>
              </w:rPr>
              <w:t xml:space="preserve">50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30</w:t>
            </w:r>
          </w:p>
        </w:tc>
      </w:tr>
    </w:tbl>
    <w:p>
      <w:pPr>
        <w:jc w:val="left"/>
      </w:pPr>
      <w:r>
        <w:rPr>
          <w:rFonts w:hAnsi="Times New Roman" w:cs="Times New Roman"/>
        </w:rPr>
        <w:t xml:space="preserve"/>
      </w:r>
    </w:p>
    <w:p>
      <w:pPr>
        <w:jc w:val="left"/>
        <w:pStyle w:val="Heading4"/>
      </w:pPr>
      <w:r>
        <w:rPr>
          <w:rFonts w:hAnsi="Times New Roman" w:cs="Times New Roman"/>
        </w:rPr>
        <w:t xml:space="preserve">A629172 ZASTUPANJE PRED MEĐUNARODNIM SUDOM I MEĐUNARODNIM KAZNENIM SUDOVIMA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primjeni Statuta Međunarodnog kaznenog suda i progonu za kaznena djela protiv međunarodnog ratnog i humanitarnog prava, Ustavni zakon o suradnji Republike Hrvatske s Međunarodnim kaznenim sudom, Odluka o financiranju dijela troškova za osobe koje se temeljem odluka Međunarodnog suda za bivšu Jugoslaviju nalaze u pritvoru, Naputak za provedbu Odluke o financiranju dijela troškova osoba koje se temeljem odluka Međunarodnog kaznenog suda za bivšu Jugoslaviju nalaze u pritvoru, odnosno zatvoru od 4. srpnja 2018.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A629172-ZASTUPANJE PRED MEĐUNARODNIM SUDOM I MEĐUNARODNIM KAZNENIM SUDOVIMA</w:t>
            </w:r>
          </w:p>
        </w:tc>
        <w:tc>
          <w:tcPr>
            <w:tcW w:w="1632.96" w:type="dxa"/>
            <w:vAlign w:val="center"/>
          </w:tcPr>
          <w:p>
            <w:pPr>
              <w:jc w:val="both"/>
              <w:pStyle w:val="CellColumn"/>
            </w:pPr>
            <w:r>
              <w:rPr>
                <w:rFonts w:hAnsi="Times New Roman" w:cs="Times New Roman"/>
              </w:rPr>
              <w:t xml:space="preserve">20.772</w:t>
            </w:r>
          </w:p>
        </w:tc>
        <w:tc>
          <w:tcPr>
            <w:tcW w:w="1632.96" w:type="dxa"/>
            <w:vAlign w:val="center"/>
          </w:tcPr>
          <w:p>
            <w:pPr>
              <w:jc w:val="both"/>
              <w:pStyle w:val="CellColumn"/>
            </w:pPr>
            <w:r>
              <w:rPr>
                <w:rFonts w:hAnsi="Times New Roman" w:cs="Times New Roman"/>
              </w:rPr>
              <w:t xml:space="preserve">23.955</w:t>
            </w:r>
          </w:p>
        </w:tc>
        <w:tc>
          <w:tcPr>
            <w:tcW w:w="1632.96" w:type="dxa"/>
            <w:vAlign w:val="center"/>
          </w:tcPr>
          <w:p>
            <w:pPr>
              <w:jc w:val="both"/>
              <w:pStyle w:val="CellColumn"/>
            </w:pPr>
            <w:r>
              <w:rPr>
                <w:rFonts w:hAnsi="Times New Roman" w:cs="Times New Roman"/>
              </w:rPr>
              <w:t xml:space="preserve">23.955</w:t>
            </w:r>
          </w:p>
        </w:tc>
        <w:tc>
          <w:tcPr>
            <w:tcW w:w="1632.96" w:type="dxa"/>
            <w:vAlign w:val="center"/>
          </w:tcPr>
          <w:p>
            <w:pPr>
              <w:jc w:val="both"/>
              <w:pStyle w:val="CellColumn"/>
            </w:pPr>
            <w:r>
              <w:rPr>
                <w:rFonts w:hAnsi="Times New Roman" w:cs="Times New Roman"/>
              </w:rPr>
              <w:t xml:space="preserve">23.955</w:t>
            </w:r>
          </w:p>
        </w:tc>
        <w:tc>
          <w:tcPr>
            <w:tcW w:w="1632.96" w:type="dxa"/>
            <w:vAlign w:val="center"/>
          </w:tcPr>
          <w:p>
            <w:pPr>
              <w:jc w:val="both"/>
              <w:pStyle w:val="CellColumn"/>
            </w:pPr>
            <w:r>
              <w:rPr>
                <w:rFonts w:hAnsi="Times New Roman" w:cs="Times New Roman"/>
              </w:rPr>
              <w:t xml:space="preserve">23.955</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u okviru ove aktivnosti u iznosu 23.955 € godišnje se, najvećim dijelom (88,9%), odnose na izvršavanje financijskih obveza posjeta članova obitelji osuđenicima Međunarodnog rezidualnog mehanizma za krivične sudove (MRMKS). Ostatak (11,1%) od ukupno planiranih sredstava se odnosi na troškove sudjelovanja na godišnjoj skupštini država članica Rimskog statuta Međunarodnog kaznenog suda te godišnjem sastanku nacionalnih kontakt točaka za odgovornost za zaštitu – Responsibility to protect. Planirana sredstva su na razini Tekućeg plana 2024.</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sastanaka</w:t>
            </w:r>
          </w:p>
        </w:tc>
        <w:tc>
          <w:tcPr>
            <w:tcW w:w="2245.32" w:type="dxa"/>
            <w:vAlign w:val="center"/>
          </w:tcPr>
          <w:p>
            <w:pPr>
              <w:jc w:val="both"/>
              <w:pStyle w:val="CellColumn"/>
            </w:pPr>
            <w:r>
              <w:rPr>
                <w:rFonts w:hAnsi="Times New Roman" w:cs="Times New Roman"/>
              </w:rPr>
              <w:t xml:space="preserve">Sudjelovanje na godišnjoj skupštini predstavnika država članica Rimskog statuta međunarodnog kaznenog suda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sastanaka</w:t>
            </w:r>
          </w:p>
        </w:tc>
        <w:tc>
          <w:tcPr>
            <w:tcW w:w="2245.32" w:type="dxa"/>
            <w:vAlign w:val="center"/>
          </w:tcPr>
          <w:p>
            <w:pPr>
              <w:jc w:val="both"/>
              <w:pStyle w:val="CellColumn"/>
            </w:pPr>
            <w:r>
              <w:rPr>
                <w:rFonts w:hAnsi="Times New Roman" w:cs="Times New Roman"/>
              </w:rPr>
              <w:t xml:space="preserve">Sudjelovanje na godišnjem sastanku globalne mreže kontakt točaka za odgovornost za zaštitu stanovništva od genocida, ratnih zločina, zločina protiv čovječnosti i etničkog čišćenja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r>
        <w:trPr>
          <w:cantSplit/>
        </w:trPr>
        <w:tc>
          <w:tcPr>
            <w:tcW w:w="2245.32" w:type="dxa"/>
            <w:vAlign w:val="center"/>
          </w:tcPr>
          <w:p>
            <w:pPr>
              <w:jc w:val="both"/>
              <w:pStyle w:val="CellColumn"/>
            </w:pPr>
            <w:r>
              <w:rPr>
                <w:rFonts w:hAnsi="Times New Roman" w:cs="Times New Roman"/>
              </w:rPr>
              <w:t xml:space="preserve">Broj posjeta</w:t>
            </w:r>
          </w:p>
        </w:tc>
        <w:tc>
          <w:tcPr>
            <w:tcW w:w="2245.32" w:type="dxa"/>
            <w:vAlign w:val="center"/>
          </w:tcPr>
          <w:p>
            <w:pPr>
              <w:jc w:val="both"/>
              <w:pStyle w:val="CellColumn"/>
            </w:pPr>
            <w:r>
              <w:rPr>
                <w:rFonts w:hAnsi="Times New Roman" w:cs="Times New Roman"/>
              </w:rPr>
              <w:t xml:space="preserve">Posjete članova obitelji osuđenicima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4"/>
      </w:pPr>
      <w:r>
        <w:rPr>
          <w:rFonts w:hAnsi="Times New Roman" w:cs="Times New Roman"/>
        </w:rPr>
        <w:t xml:space="preserve">A630017 DJELATNOST OVLAŠTENIH SLUŽBENIH OSOBA NA OSIGURANJU PRAVOSUDNIH TIJELA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(članak 113., stavak 3.; članak 115.; članak 116.), Zakon o državnom odvjetništvu (članak 129., stavak 2.), Zakon o Uredu za suzbijanje korupcije i organiziranog kriminaliteta (članak 19.), Pravilnik o načinu osiguranja osoba, imovine i objekata sudova i državnih odvjetništava (članak 2.; članak 14., stavak 1.; članak 16., stavak 3.), Pravilnik o službenoj iskaznici i znački službenika pravosudne policije (članak 1.; članak 5.; članak 7., stavak 1.), Pravilnik o postupku utvrđivanja posebne zdravstvene sposobnosti za obavljanje poslova službenika pravosudne policije te o izboru članova i načinu rada zdravstvene komisije (članak 1. – 2.; članak 5., stavak 1.), Pravilnik o odori službenika pravosudne policije (članak 3. – 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A630017-DJELATNOST OVLAŠTENIH SLUŽBENIH OSOBA NA OSIGURANJU PRAVOSUDNIH TIJELA</w:t>
            </w:r>
          </w:p>
        </w:tc>
        <w:tc>
          <w:tcPr>
            <w:tcW w:w="1632.96" w:type="dxa"/>
            <w:vAlign w:val="center"/>
          </w:tcPr>
          <w:p>
            <w:pPr>
              <w:jc w:val="both"/>
              <w:pStyle w:val="CellColumn"/>
            </w:pPr>
            <w:r>
              <w:rPr>
                <w:rFonts w:hAnsi="Times New Roman" w:cs="Times New Roman"/>
              </w:rPr>
              <w:t xml:space="preserve">117.662</w:t>
            </w:r>
          </w:p>
        </w:tc>
        <w:tc>
          <w:tcPr>
            <w:tcW w:w="1632.96" w:type="dxa"/>
            <w:vAlign w:val="center"/>
          </w:tcPr>
          <w:p>
            <w:pPr>
              <w:jc w:val="both"/>
              <w:pStyle w:val="CellColumn"/>
            </w:pPr>
            <w:r>
              <w:rPr>
                <w:rFonts w:hAnsi="Times New Roman" w:cs="Times New Roman"/>
              </w:rPr>
              <w:t xml:space="preserve">156.925</w:t>
            </w:r>
          </w:p>
        </w:tc>
        <w:tc>
          <w:tcPr>
            <w:tcW w:w="1632.96" w:type="dxa"/>
            <w:vAlign w:val="center"/>
          </w:tcPr>
          <w:p>
            <w:pPr>
              <w:jc w:val="both"/>
              <w:pStyle w:val="CellColumn"/>
            </w:pPr>
            <w:r>
              <w:rPr>
                <w:rFonts w:hAnsi="Times New Roman" w:cs="Times New Roman"/>
              </w:rPr>
              <w:t xml:space="preserve">600.250</w:t>
            </w:r>
          </w:p>
        </w:tc>
        <w:tc>
          <w:tcPr>
            <w:tcW w:w="1632.96" w:type="dxa"/>
            <w:vAlign w:val="center"/>
          </w:tcPr>
          <w:p>
            <w:pPr>
              <w:jc w:val="both"/>
              <w:pStyle w:val="CellColumn"/>
            </w:pPr>
            <w:r>
              <w:rPr>
                <w:rFonts w:hAnsi="Times New Roman" w:cs="Times New Roman"/>
              </w:rPr>
              <w:t xml:space="preserve">632.250</w:t>
            </w:r>
          </w:p>
        </w:tc>
        <w:tc>
          <w:tcPr>
            <w:tcW w:w="1632.96" w:type="dxa"/>
            <w:vAlign w:val="center"/>
          </w:tcPr>
          <w:p>
            <w:pPr>
              <w:jc w:val="both"/>
              <w:pStyle w:val="CellColumn"/>
            </w:pPr>
            <w:r>
              <w:rPr>
                <w:rFonts w:hAnsi="Times New Roman" w:cs="Times New Roman"/>
              </w:rPr>
              <w:t xml:space="preserve">620.250</w:t>
            </w:r>
          </w:p>
        </w:tc>
        <w:tc>
          <w:tcPr>
            <w:tcW w:w="510.3" w:type="dxa"/>
            <w:vAlign w:val="center"/>
          </w:tcPr>
          <w:p>
            <w:pPr>
              <w:jc w:val="both"/>
              <w:pStyle w:val="CellColumn"/>
            </w:pPr>
            <w:r>
              <w:rPr>
                <w:rFonts w:hAnsi="Times New Roman" w:cs="Times New Roman"/>
              </w:rPr>
              <w:t xml:space="preserve">382,5</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planirana sredstva za postupak nabave službenih odora, opreme i službenih isprava te provedbu zdravstvenih pregleda radi utvrđivanja posebne zdravstvene sposobnosti službenika pravosudne policije i kandidata za službenike pravosudne policije raspoređene na osiguranju pravosudnih tijela. Odredbama Zakona o sudovima propisano je da su službenici pravosudne policije, kao jedno od sredstava prisile, ovlašteni koristiti i vatreno oružje. Planirana sredstva iznose 600.250 € za 2025, 632.250 € za 2026. i 620.250 € za 2027. Za 2025. je planirano 443.325 € više u odnosu na Tekući plan 2024. Najveći udio u povećanju planiranih sredstava se odnosi na nabavu rendgenskih uređaja za pretragu predmeta i stvari osoba koje pristupaju u sljedeća pravosudna tijela: Županijski sud u Zagrebu, Općinski kazneni sud u Zagrebu, Općinski građanski sud u Zagrebu, Županijski sud u Rijeci, Županijski sud u Osijeku, Županijski sud u Splitu, Županijski sud u Karlovcu, Županijski sud u Bjelovaru, Županijski sud u Varaždinu, Županijski sud u Vukovaru, za što je potrebno 400.000 € u 2025. (konto 4223). Sredstva je potrebno osigurati s ciljem povećanja razine sigurnosti kroz smanjenje mogućnosti unosa nedozvoljenih i opasnih predmeta u prostore pravosudnih tijela. A povećanje planiranih sredstava za nabavu dijelova službenih odora i opreme (konto 3227) iznosi 58.910 €.</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kandidata i službenika pravosudne policije koji pristupaju zdravstvenom pregledu</w:t>
            </w:r>
          </w:p>
        </w:tc>
        <w:tc>
          <w:tcPr>
            <w:tcW w:w="2245.32" w:type="dxa"/>
            <w:vAlign w:val="center"/>
          </w:tcPr>
          <w:p>
            <w:pPr>
              <w:jc w:val="both"/>
              <w:pStyle w:val="CellColumn"/>
            </w:pPr>
            <w:r>
              <w:rPr>
                <w:rFonts w:hAnsi="Times New Roman" w:cs="Times New Roman"/>
              </w:rPr>
              <w:t xml:space="preserve">Utvrđivanje posebne zdravstvene sposobnosti kandidata i službenika pravosudne policije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63</w:t>
            </w:r>
          </w:p>
        </w:tc>
        <w:tc>
          <w:tcPr>
            <w:tcW w:w="918.54" w:type="dxa"/>
            <w:vAlign w:val="center"/>
          </w:tcPr>
          <w:p>
            <w:pPr>
              <w:jc w:val="both"/>
              <w:pStyle w:val="CellColumn"/>
            </w:pPr>
            <w:r>
              <w:rPr>
                <w:rFonts w:hAnsi="Times New Roman" w:cs="Times New Roman"/>
              </w:rPr>
              <w:t xml:space="preserve">43</w:t>
            </w:r>
          </w:p>
        </w:tc>
        <w:tc>
          <w:tcPr>
            <w:tcW w:w="918.54" w:type="dxa"/>
            <w:vAlign w:val="center"/>
          </w:tcPr>
          <w:p>
            <w:pPr>
              <w:jc w:val="both"/>
              <w:pStyle w:val="CellColumn"/>
            </w:pPr>
            <w:r>
              <w:rPr>
                <w:rFonts w:hAnsi="Times New Roman" w:cs="Times New Roman"/>
              </w:rPr>
              <w:t xml:space="preserve">156</w:t>
            </w:r>
          </w:p>
        </w:tc>
      </w:tr>
      <w:tr>
        <w:trPr>
          <w:cantSplit/>
        </w:trPr>
        <w:tc>
          <w:tcPr>
            <w:tcW w:w="2245.32" w:type="dxa"/>
            <w:vAlign w:val="center"/>
          </w:tcPr>
          <w:p>
            <w:pPr>
              <w:jc w:val="both"/>
              <w:pStyle w:val="CellColumn"/>
            </w:pPr>
            <w:r>
              <w:rPr>
                <w:rFonts w:hAnsi="Times New Roman" w:cs="Times New Roman"/>
              </w:rPr>
              <w:t xml:space="preserve">Broj nabavljenih tetra radio uređaja</w:t>
            </w:r>
          </w:p>
        </w:tc>
        <w:tc>
          <w:tcPr>
            <w:tcW w:w="2245.32" w:type="dxa"/>
            <w:vAlign w:val="center"/>
          </w:tcPr>
          <w:p>
            <w:pPr>
              <w:jc w:val="both"/>
              <w:pStyle w:val="CellColumn"/>
            </w:pPr>
            <w:r>
              <w:rPr>
                <w:rFonts w:hAnsi="Times New Roman" w:cs="Times New Roman"/>
              </w:rPr>
              <w:t xml:space="preserve">Ručni radio uređaj sukladan važećim TETRA standardima i kompatibilan za rad na TETRA infrastrukturi Dimetra 9.0 uz funkcionalnost govornih i podatkovnih usluga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24</w:t>
            </w:r>
          </w:p>
        </w:tc>
        <w:tc>
          <w:tcPr>
            <w:tcW w:w="918.54" w:type="dxa"/>
            <w:vAlign w:val="center"/>
          </w:tcPr>
          <w:p>
            <w:pPr>
              <w:jc w:val="both"/>
              <w:pStyle w:val="CellColumn"/>
            </w:pPr>
            <w:r>
              <w:rPr>
                <w:rFonts w:hAnsi="Times New Roman" w:cs="Times New Roman"/>
              </w:rPr>
              <w:t xml:space="preserve">24</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4"/>
      </w:pPr>
      <w:r>
        <w:rPr>
          <w:rFonts w:hAnsi="Times New Roman" w:cs="Times New Roman"/>
        </w:rPr>
        <w:t xml:space="preserve">A630069 SUDJELOVANJE U MEĐUNARODNIM ORGANIZACIJAMA I MISIJAMA U INOZEMSTVU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sudjelovanju civilnih stručnjaka u međunarodnim misijama i operacijama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A630069-SUDJELOVANJE U MEĐUNARODNIM ORGANIZACIJAMA I MISIJAMA U INOZEMSTVU</w:t>
            </w:r>
          </w:p>
        </w:tc>
        <w:tc>
          <w:tcPr>
            <w:tcW w:w="1632.96" w:type="dxa"/>
            <w:vAlign w:val="center"/>
          </w:tcPr>
          <w:p>
            <w:pPr>
              <w:jc w:val="both"/>
              <w:pStyle w:val="CellColumn"/>
            </w:pPr>
            <w:r>
              <w:rPr>
                <w:rFonts w:hAnsi="Times New Roman" w:cs="Times New Roman"/>
              </w:rPr>
              <w:t xml:space="preserve">7.665</w:t>
            </w:r>
          </w:p>
        </w:tc>
        <w:tc>
          <w:tcPr>
            <w:tcW w:w="1632.96" w:type="dxa"/>
            <w:vAlign w:val="center"/>
          </w:tcPr>
          <w:p>
            <w:pPr>
              <w:jc w:val="both"/>
              <w:pStyle w:val="CellColumn"/>
            </w:pPr>
            <w:r>
              <w:rPr>
                <w:rFonts w:hAnsi="Times New Roman" w:cs="Times New Roman"/>
              </w:rPr>
              <w:t xml:space="preserve">12.055</w:t>
            </w:r>
          </w:p>
        </w:tc>
        <w:tc>
          <w:tcPr>
            <w:tcW w:w="1632.96" w:type="dxa"/>
            <w:vAlign w:val="center"/>
          </w:tcPr>
          <w:p>
            <w:pPr>
              <w:jc w:val="both"/>
              <w:pStyle w:val="CellColumn"/>
            </w:pPr>
            <w:r>
              <w:rPr>
                <w:rFonts w:hAnsi="Times New Roman" w:cs="Times New Roman"/>
              </w:rPr>
              <w:t xml:space="preserve">9.955</w:t>
            </w:r>
          </w:p>
        </w:tc>
        <w:tc>
          <w:tcPr>
            <w:tcW w:w="1632.96" w:type="dxa"/>
            <w:vAlign w:val="center"/>
          </w:tcPr>
          <w:p>
            <w:pPr>
              <w:jc w:val="both"/>
              <w:pStyle w:val="CellColumn"/>
            </w:pPr>
            <w:r>
              <w:rPr>
                <w:rFonts w:hAnsi="Times New Roman" w:cs="Times New Roman"/>
              </w:rPr>
              <w:t xml:space="preserve">9.955</w:t>
            </w:r>
          </w:p>
        </w:tc>
        <w:tc>
          <w:tcPr>
            <w:tcW w:w="1632.96" w:type="dxa"/>
            <w:vAlign w:val="center"/>
          </w:tcPr>
          <w:p>
            <w:pPr>
              <w:jc w:val="both"/>
              <w:pStyle w:val="CellColumn"/>
            </w:pPr>
            <w:r>
              <w:rPr>
                <w:rFonts w:hAnsi="Times New Roman" w:cs="Times New Roman"/>
              </w:rPr>
              <w:t xml:space="preserve">9.955</w:t>
            </w:r>
          </w:p>
        </w:tc>
        <w:tc>
          <w:tcPr>
            <w:tcW w:w="510.3" w:type="dxa"/>
            <w:vAlign w:val="center"/>
          </w:tcPr>
          <w:p>
            <w:pPr>
              <w:jc w:val="both"/>
              <w:pStyle w:val="CellColumn"/>
            </w:pPr>
            <w:r>
              <w:rPr>
                <w:rFonts w:hAnsi="Times New Roman" w:cs="Times New Roman"/>
              </w:rPr>
              <w:t xml:space="preserve">82,6</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iznose 9.955 € godišnje, a planirana su za podmirenje troškova sudjelovanja članova Povjerenstva za praćenje rada UNCITRAL-a na sastancima radnih skupina. UNCITRAL ima ustrojenih 6 radnih skupina – u svakoj radnoj skupini se godišnje održavaju sastanci u New Yorku i Beču te jedan sastanak Opće skupštine.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sastanaka</w:t>
            </w:r>
          </w:p>
        </w:tc>
        <w:tc>
          <w:tcPr>
            <w:tcW w:w="2245.32" w:type="dxa"/>
            <w:vAlign w:val="center"/>
          </w:tcPr>
          <w:p>
            <w:pPr>
              <w:jc w:val="both"/>
              <w:pStyle w:val="CellColumn"/>
            </w:pPr>
            <w:r>
              <w:rPr>
                <w:rFonts w:hAnsi="Times New Roman" w:cs="Times New Roman"/>
              </w:rPr>
              <w:t xml:space="preserve">Sudjelovanje u radu Komisije UN-a za međunarodno trgovačko pravo</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13</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13</w:t>
            </w:r>
          </w:p>
        </w:tc>
        <w:tc>
          <w:tcPr>
            <w:tcW w:w="918.54" w:type="dxa"/>
            <w:vAlign w:val="center"/>
          </w:tcPr>
          <w:p>
            <w:pPr>
              <w:jc w:val="both"/>
              <w:pStyle w:val="CellColumn"/>
            </w:pPr>
            <w:r>
              <w:rPr>
                <w:rFonts w:hAnsi="Times New Roman" w:cs="Times New Roman"/>
              </w:rPr>
              <w:t xml:space="preserve">13</w:t>
            </w:r>
          </w:p>
        </w:tc>
        <w:tc>
          <w:tcPr>
            <w:tcW w:w="918.54" w:type="dxa"/>
            <w:vAlign w:val="center"/>
          </w:tcPr>
          <w:p>
            <w:pPr>
              <w:jc w:val="both"/>
              <w:pStyle w:val="CellColumn"/>
            </w:pPr>
            <w:r>
              <w:rPr>
                <w:rFonts w:hAnsi="Times New Roman" w:cs="Times New Roman"/>
              </w:rPr>
              <w:t xml:space="preserve">13</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1.993.244</w:t>
            </w:r>
          </w:p>
        </w:tc>
        <w:tc>
          <w:tcPr>
            <w:tcW w:w="1632.96" w:type="dxa"/>
            <w:vAlign w:val="center"/>
          </w:tcPr>
          <w:p>
            <w:pPr>
              <w:jc w:val="both"/>
              <w:pStyle w:val="CellColumn"/>
            </w:pPr>
            <w:r>
              <w:rPr>
                <w:rFonts w:hAnsi="Times New Roman" w:cs="Times New Roman"/>
              </w:rPr>
              <w:t xml:space="preserve">1.726.943</w:t>
            </w:r>
          </w:p>
        </w:tc>
        <w:tc>
          <w:tcPr>
            <w:tcW w:w="1632.96" w:type="dxa"/>
            <w:vAlign w:val="center"/>
          </w:tcPr>
          <w:p>
            <w:pPr>
              <w:jc w:val="both"/>
              <w:pStyle w:val="CellColumn"/>
            </w:pPr>
            <w:r>
              <w:rPr>
                <w:rFonts w:hAnsi="Times New Roman" w:cs="Times New Roman"/>
              </w:rPr>
              <w:t xml:space="preserve">2.112.716</w:t>
            </w:r>
          </w:p>
        </w:tc>
        <w:tc>
          <w:tcPr>
            <w:tcW w:w="1632.96" w:type="dxa"/>
            <w:vAlign w:val="center"/>
          </w:tcPr>
          <w:p>
            <w:pPr>
              <w:jc w:val="both"/>
              <w:pStyle w:val="CellColumn"/>
            </w:pPr>
            <w:r>
              <w:rPr>
                <w:rFonts w:hAnsi="Times New Roman" w:cs="Times New Roman"/>
              </w:rPr>
              <w:t xml:space="preserve">2.106.716</w:t>
            </w:r>
          </w:p>
        </w:tc>
        <w:tc>
          <w:tcPr>
            <w:tcW w:w="1632.96" w:type="dxa"/>
            <w:vAlign w:val="center"/>
          </w:tcPr>
          <w:p>
            <w:pPr>
              <w:jc w:val="both"/>
              <w:pStyle w:val="CellColumn"/>
            </w:pPr>
            <w:r>
              <w:rPr>
                <w:rFonts w:hAnsi="Times New Roman" w:cs="Times New Roman"/>
              </w:rPr>
              <w:t xml:space="preserve">2.105.916</w:t>
            </w:r>
          </w:p>
        </w:tc>
        <w:tc>
          <w:tcPr>
            <w:tcW w:w="510.3" w:type="dxa"/>
            <w:vAlign w:val="center"/>
          </w:tcPr>
          <w:p>
            <w:pPr>
              <w:jc w:val="both"/>
              <w:pStyle w:val="CellColumn"/>
            </w:pPr>
            <w:r>
              <w:rPr>
                <w:rFonts w:hAnsi="Times New Roman" w:cs="Times New Roman"/>
              </w:rPr>
              <w:t xml:space="preserve">122,3</w:t>
            </w:r>
          </w:p>
        </w:tc>
      </w:tr>
    </w:tbl>
    <w:p>
      <w:pPr>
        <w:jc w:val="left"/>
      </w:pPr>
      <w:r>
        <w:rPr>
          <w:rFonts w:hAnsi="Times New Roman" w:cs="Times New Roman"/>
        </w:rPr>
        <w:t xml:space="preserve"/>
      </w:r>
    </w:p>
    <w:p>
      <w:pPr>
        <w:jc w:val="left"/>
        <w:pStyle w:val="Heading7"/>
      </w:pPr>
      <w:r>
        <w:rPr>
          <w:rFonts w:hAnsi="Times New Roman" w:cs="Times New Roman"/>
        </w:rPr>
        <w:t xml:space="preserve">Cilj 1. Povećanje učinkovitosti pravosuđa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Povećan udio riješenih predmeta u broju primljenih</w:t>
            </w:r>
          </w:p>
        </w:tc>
        <w:tc>
          <w:tcPr>
            <w:tcW w:w="2245.32" w:type="dxa"/>
            <w:vAlign w:val="center"/>
          </w:tcPr>
          <w:p>
            <w:pPr>
              <w:jc w:val="both"/>
              <w:pStyle w:val="CellColumn"/>
            </w:pPr>
            <w:r>
              <w:rPr>
                <w:rFonts w:hAnsi="Times New Roman" w:cs="Times New Roman"/>
              </w:rPr>
              <w:t xml:space="preserve">Udio riješenih predmeta u odnosu na broj primljenih</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13%</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25%</w:t>
            </w:r>
          </w:p>
        </w:tc>
      </w:tr>
    </w:tbl>
    <w:p>
      <w:pPr>
        <w:jc w:val="left"/>
      </w:pPr>
      <w:r>
        <w:rPr>
          <w:rFonts w:hAnsi="Times New Roman" w:cs="Times New Roman"/>
        </w:rPr>
        <w:t xml:space="preserve"/>
      </w:r>
    </w:p>
    <w:p>
      <w:pPr>
        <w:jc w:val="left"/>
        <w:pStyle w:val="Heading4"/>
      </w:pPr>
      <w:r>
        <w:rPr>
          <w:rFonts w:hAnsi="Times New Roman" w:cs="Times New Roman"/>
        </w:rPr>
        <w:t xml:space="preserve">A544099 JEDNOSTAVNI STEČAJ POTROŠAČA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stečaju potrošača, Ugovor o obavljanju određenih poslova za potrebe provedbe jednostavnog postupka stečaja potrošača od 28. prosinca 2018. (članak 4. stavak 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A544099-JEDNOSTAVNI STEČAJ POTROŠAČA</w:t>
            </w:r>
          </w:p>
        </w:tc>
        <w:tc>
          <w:tcPr>
            <w:tcW w:w="1632.96" w:type="dxa"/>
            <w:vAlign w:val="center"/>
          </w:tcPr>
          <w:p>
            <w:pPr>
              <w:jc w:val="both"/>
              <w:pStyle w:val="CellColumn"/>
            </w:pPr>
            <w:r>
              <w:rPr>
                <w:rFonts w:hAnsi="Times New Roman" w:cs="Times New Roman"/>
              </w:rPr>
              <w:t xml:space="preserve">1.154.177</w:t>
            </w:r>
          </w:p>
        </w:tc>
        <w:tc>
          <w:tcPr>
            <w:tcW w:w="1632.96" w:type="dxa"/>
            <w:vAlign w:val="center"/>
          </w:tcPr>
          <w:p>
            <w:pPr>
              <w:jc w:val="both"/>
              <w:pStyle w:val="CellColumn"/>
            </w:pPr>
            <w:r>
              <w:rPr>
                <w:rFonts w:hAnsi="Times New Roman" w:cs="Times New Roman"/>
              </w:rPr>
              <w:t xml:space="preserve">1.194.505</w:t>
            </w:r>
          </w:p>
        </w:tc>
        <w:tc>
          <w:tcPr>
            <w:tcW w:w="1632.96" w:type="dxa"/>
            <w:vAlign w:val="center"/>
          </w:tcPr>
          <w:p>
            <w:pPr>
              <w:jc w:val="both"/>
              <w:pStyle w:val="CellColumn"/>
            </w:pPr>
            <w:r>
              <w:rPr>
                <w:rFonts w:hAnsi="Times New Roman" w:cs="Times New Roman"/>
              </w:rPr>
              <w:t xml:space="preserve">1.194.505</w:t>
            </w:r>
          </w:p>
        </w:tc>
        <w:tc>
          <w:tcPr>
            <w:tcW w:w="1632.96" w:type="dxa"/>
            <w:vAlign w:val="center"/>
          </w:tcPr>
          <w:p>
            <w:pPr>
              <w:jc w:val="both"/>
              <w:pStyle w:val="CellColumn"/>
            </w:pPr>
            <w:r>
              <w:rPr>
                <w:rFonts w:hAnsi="Times New Roman" w:cs="Times New Roman"/>
              </w:rPr>
              <w:t xml:space="preserve">1.194.505</w:t>
            </w:r>
          </w:p>
        </w:tc>
        <w:tc>
          <w:tcPr>
            <w:tcW w:w="1632.96" w:type="dxa"/>
            <w:vAlign w:val="center"/>
          </w:tcPr>
          <w:p>
            <w:pPr>
              <w:jc w:val="both"/>
              <w:pStyle w:val="CellColumn"/>
            </w:pPr>
            <w:r>
              <w:rPr>
                <w:rFonts w:hAnsi="Times New Roman" w:cs="Times New Roman"/>
              </w:rPr>
              <w:t xml:space="preserve">1.194.505</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provedbu jednostavnog postupka stečaja potrošača. Sredstva su osigurana za podmirenje troškova rada Financijske agencije, vezanih uz provedbu jednostavnog postupka stečaja potrošača (slanje poziva potrošaču da dostavi očitovanje o pristanku na provođenje postupka, dostava prijedloga sudu i ostale radnje). Ugovoreno je plaćanje 19,91 € + PDV po svakom predmetu jednostavnog stečaja potrošača u kojem je FINA poslala barem poziv potrošaču. Sve radnje koje FINA obavlja za taj iznos propisane su u članku 2. Ugovora. Procjena broja poziva potrošačima u sljedećem proračunskom razdoblju je napravljena na bazi 4.000 poziva mjesečno. Ipak, nije moguće procijeniti točan broj predmeta jednostavnog postupaka stečaja potrošača, jer broj ovisi o tome koliko potrošača u određenom trenutku zadovoljava uvjete za pokretanje postupka. Cilj provedbe ove aktivnosti je rješavanje prezaduženosti velikog broja fizičkih osoba, čime će se smanjiti broj ovršnih postupaka i broj građana s blokiranim računima. Planirana sredstva iznose 1.194.505 € godišnje i na razini su Tekućeg plana za 2024.</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Otpremljeni pozivi potrošaču na dostavu očitovanja</w:t>
            </w:r>
          </w:p>
        </w:tc>
        <w:tc>
          <w:tcPr>
            <w:tcW w:w="2245.32" w:type="dxa"/>
            <w:vAlign w:val="center"/>
          </w:tcPr>
          <w:p>
            <w:pPr>
              <w:jc w:val="both"/>
              <w:pStyle w:val="CellColumn"/>
            </w:pPr>
            <w:r>
              <w:rPr>
                <w:rFonts w:hAnsi="Times New Roman" w:cs="Times New Roman"/>
              </w:rPr>
              <w:t xml:space="preserve">Financijska agencija dostavlja Poziv na dostavu očitovanja svim potrošačima koji zadovoljavaju zakonske uvjete za jednostavni stečaj potrošača</w:t>
            </w:r>
          </w:p>
        </w:tc>
        <w:tc>
          <w:tcPr>
            <w:tcW w:w="918.54" w:type="dxa"/>
            <w:vAlign w:val="center"/>
          </w:tcPr>
          <w:p>
            <w:pPr>
              <w:jc w:val="both"/>
              <w:pStyle w:val="CellColumn"/>
            </w:pPr>
            <w:r>
              <w:rPr>
                <w:rFonts w:hAnsi="Times New Roman" w:cs="Times New Roman"/>
              </w:rPr>
              <w:t xml:space="preserve">Broj poziva potrošaču</w:t>
            </w:r>
          </w:p>
        </w:tc>
        <w:tc>
          <w:tcPr>
            <w:tcW w:w="918.54" w:type="dxa"/>
            <w:vAlign w:val="center"/>
          </w:tcPr>
          <w:p>
            <w:pPr>
              <w:jc w:val="both"/>
              <w:pStyle w:val="CellColumn"/>
            </w:pPr>
            <w:r>
              <w:rPr>
                <w:rFonts w:hAnsi="Times New Roman" w:cs="Times New Roman"/>
              </w:rPr>
              <w:t xml:space="preserve">256.523</w:t>
            </w:r>
          </w:p>
        </w:tc>
        <w:tc>
          <w:tcPr>
            <w:tcW w:w="918.54" w:type="dxa"/>
            <w:vAlign w:val="center"/>
          </w:tcPr>
          <w:p>
            <w:pPr>
              <w:jc w:val="both"/>
              <w:pStyle w:val="CellColumn"/>
            </w:pPr>
            <w:r>
              <w:rPr>
                <w:rFonts w:hAnsi="Times New Roman" w:cs="Times New Roman"/>
              </w:rPr>
              <w:t xml:space="preserve">Financijska agencija</w:t>
            </w:r>
          </w:p>
        </w:tc>
        <w:tc>
          <w:tcPr>
            <w:tcW w:w="918.54" w:type="dxa"/>
            <w:vAlign w:val="center"/>
          </w:tcPr>
          <w:p>
            <w:pPr>
              <w:jc w:val="both"/>
              <w:pStyle w:val="CellColumn"/>
            </w:pPr>
            <w:r>
              <w:rPr>
                <w:rFonts w:hAnsi="Times New Roman" w:cs="Times New Roman"/>
              </w:rPr>
              <w:t xml:space="preserve">48.000</w:t>
            </w:r>
          </w:p>
        </w:tc>
        <w:tc>
          <w:tcPr>
            <w:tcW w:w="918.54" w:type="dxa"/>
            <w:vAlign w:val="center"/>
          </w:tcPr>
          <w:p>
            <w:pPr>
              <w:jc w:val="both"/>
              <w:pStyle w:val="CellColumn"/>
            </w:pPr>
            <w:r>
              <w:rPr>
                <w:rFonts w:hAnsi="Times New Roman" w:cs="Times New Roman"/>
              </w:rPr>
              <w:t xml:space="preserve">48.000</w:t>
            </w:r>
          </w:p>
        </w:tc>
        <w:tc>
          <w:tcPr>
            <w:tcW w:w="918.54" w:type="dxa"/>
            <w:vAlign w:val="center"/>
          </w:tcPr>
          <w:p>
            <w:pPr>
              <w:jc w:val="both"/>
              <w:pStyle w:val="CellColumn"/>
            </w:pPr>
            <w:r>
              <w:rPr>
                <w:rFonts w:hAnsi="Times New Roman" w:cs="Times New Roman"/>
              </w:rPr>
              <w:t xml:space="preserve">48.000</w:t>
            </w:r>
          </w:p>
        </w:tc>
      </w:tr>
    </w:tbl>
    <w:p>
      <w:pPr>
        <w:jc w:val="left"/>
      </w:pPr>
      <w:r>
        <w:rPr>
          <w:rFonts w:hAnsi="Times New Roman" w:cs="Times New Roman"/>
        </w:rPr>
        <w:t xml:space="preserve"/>
      </w:r>
    </w:p>
    <w:p>
      <w:pPr>
        <w:jc w:val="left"/>
        <w:pStyle w:val="Heading4"/>
      </w:pPr>
      <w:r>
        <w:rPr>
          <w:rFonts w:hAnsi="Times New Roman" w:cs="Times New Roman"/>
        </w:rPr>
        <w:t xml:space="preserve">A576241 PODRŠKA SVJEDOCIMA I ŽRTVAMA KAZNENIH DJELA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kaznenom postupku, Glava V. Žrtva, oštećenik i privatni tužitelj, čl. 16., 43., 44., 45. i 47.; Kazneni zakon, Zakon o izvršavanju kazne zatvora čl. 8. st. 3.; Zakon o novčanoj naknadi žrtvama kaznenih djela; Direktiva 2012/29/EU o uspostavi minimalnih standarda prava, podrške i zaštite žrtava kaznenih djela; Nacionalna strategija razvoja sustava podrške žrtvama i svjedocima u RH za razdoblje od 2016.-2020.; Uredba o kriterijima, mjerilima i postupcima financiranja i ugovaranja programa i projekata od interesa za opće dobro koje provode udruge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A576241-PODRŠKA SVJEDOCIMA I ŽRTVAMA KAZNENIH DJELA</w:t>
            </w:r>
          </w:p>
        </w:tc>
        <w:tc>
          <w:tcPr>
            <w:tcW w:w="1632.96" w:type="dxa"/>
            <w:vAlign w:val="center"/>
          </w:tcPr>
          <w:p>
            <w:pPr>
              <w:jc w:val="both"/>
              <w:pStyle w:val="CellColumn"/>
            </w:pPr>
            <w:r>
              <w:rPr>
                <w:rFonts w:hAnsi="Times New Roman" w:cs="Times New Roman"/>
              </w:rPr>
              <w:t xml:space="preserve">746.693</w:t>
            </w:r>
          </w:p>
        </w:tc>
        <w:tc>
          <w:tcPr>
            <w:tcW w:w="1632.96" w:type="dxa"/>
            <w:vAlign w:val="center"/>
          </w:tcPr>
          <w:p>
            <w:pPr>
              <w:jc w:val="both"/>
              <w:pStyle w:val="CellColumn"/>
            </w:pPr>
            <w:r>
              <w:rPr>
                <w:rFonts w:hAnsi="Times New Roman" w:cs="Times New Roman"/>
              </w:rPr>
              <w:t xml:space="preserve">333.353</w:t>
            </w:r>
          </w:p>
        </w:tc>
        <w:tc>
          <w:tcPr>
            <w:tcW w:w="1632.96" w:type="dxa"/>
            <w:vAlign w:val="center"/>
          </w:tcPr>
          <w:p>
            <w:pPr>
              <w:jc w:val="both"/>
              <w:pStyle w:val="CellColumn"/>
            </w:pPr>
            <w:r>
              <w:rPr>
                <w:rFonts w:hAnsi="Times New Roman" w:cs="Times New Roman"/>
              </w:rPr>
              <w:t xml:space="preserve">704.126</w:t>
            </w:r>
          </w:p>
        </w:tc>
        <w:tc>
          <w:tcPr>
            <w:tcW w:w="1632.96" w:type="dxa"/>
            <w:vAlign w:val="center"/>
          </w:tcPr>
          <w:p>
            <w:pPr>
              <w:jc w:val="both"/>
              <w:pStyle w:val="CellColumn"/>
            </w:pPr>
            <w:r>
              <w:rPr>
                <w:rFonts w:hAnsi="Times New Roman" w:cs="Times New Roman"/>
              </w:rPr>
              <w:t xml:space="preserve">698.126</w:t>
            </w:r>
          </w:p>
        </w:tc>
        <w:tc>
          <w:tcPr>
            <w:tcW w:w="1632.96" w:type="dxa"/>
            <w:vAlign w:val="center"/>
          </w:tcPr>
          <w:p>
            <w:pPr>
              <w:jc w:val="both"/>
              <w:pStyle w:val="CellColumn"/>
            </w:pPr>
            <w:r>
              <w:rPr>
                <w:rFonts w:hAnsi="Times New Roman" w:cs="Times New Roman"/>
              </w:rPr>
              <w:t xml:space="preserve">697.326</w:t>
            </w:r>
          </w:p>
        </w:tc>
        <w:tc>
          <w:tcPr>
            <w:tcW w:w="510.3" w:type="dxa"/>
            <w:vAlign w:val="center"/>
          </w:tcPr>
          <w:p>
            <w:pPr>
              <w:jc w:val="both"/>
              <w:pStyle w:val="CellColumn"/>
            </w:pPr>
            <w:r>
              <w:rPr>
                <w:rFonts w:hAnsi="Times New Roman" w:cs="Times New Roman"/>
              </w:rPr>
              <w:t xml:space="preserve">211,2</w:t>
            </w:r>
          </w:p>
        </w:tc>
      </w:tr>
    </w:tbl>
    <w:p>
      <w:pPr>
        <w:jc w:val="left"/>
      </w:pPr>
      <w:r>
        <w:rPr>
          <w:rFonts w:hAnsi="Times New Roman" w:cs="Times New Roman"/>
        </w:rPr>
        <w:t xml:space="preserve"/>
      </w:r>
    </w:p>
    <w:p>
      <w:pPr>
        <w:jc w:val="both"/>
        <w:pStyle w:val="Normal"/>
      </w:pPr>
      <w:r>
        <w:rPr>
          <w:rFonts w:hAnsi="Times New Roman" w:cs="Times New Roman"/>
        </w:rPr>
        <w:t xml:space="preserve">Temeljem odluka Odbora za novčanu naknadu žrtvama kaznenih djela, koji odlučuje o zahtjevima žrtava sukladno Zakonu o novčanoj naknadi žrtvama kaznenih djela u okviru ove aktivnosti (IF 11) se planiraju sredstva za isplatu novčane naknade žrtvama kaznenih djela. Za sljedeće proračunsko razdoblje je planirano po 26.545 € godišnje (konto 3721). Za financiranje provedbe projekata udruga usmjerenih na razvoj sustava podrške žrtvama i svjedocima pružanjem potpore partnerskoj mreži organizacija za podršku i pomoć žrtvama i svjedocima i Nacionalnom pozivnom centru za žrtve kaznenih djela i prekršaja 116006, sredstva su osigurana iz dijela prihoda od igara na sreću (lutrijska sredstva) (IF 41) temeljem objavljenog Javnog natječaja i izravnom dodjelom sredstava. Sredstva planirana za 2023. godinu koristila su se za aktivnosti financiranja projekata udruga usmjerenih na razvoj sustava podrške žrtvama i svjedocima pružanjem potpore partnerskoj mreži organizacija za podršku i pomoć žrtvama i svjedocima temeljem Ugovora o dodjeli financijskih sredstava za 1. godinu provedbe programa (aktivnosti se provode od 1. siječnja do 31. prosinca 2024.) u iznosu 451.136,88 €. U 2023. je isplaćena 1. rata u iznosu 315.880,29 €, dok će se u 2024. isplatiti 2. rata u iznosu od 135.256,59 €. Sredstvima planiranim u 2024. godini potpisat će se Ugovor o dodjeli financijskih sredstava za 2. godinu provedbe programa u prosincu 2024. (aktivnosti će se provoditi od 1. siječnja do 31. prosinca 2025.) u iznosu od 473.000 €. U 2024. će bit isplaćena prva rata u iznosu od 283.000 €, dok će se druga rata u iznosu 189.200 € isplatiti tijekom 2025. godine. Sredstvima planiranim u 2024. godini, a temeljem Ugovora o izravnoj dodjeli financijskih sredstava za provedbu programa Nacionalni pozivni centar za žrtve kaznenih djela i prekršaja, koji će biti potpisan 1. listopada 2024., bit će isplaćena prva rata u iznosu 40.662,33 €, dok će se druga rata u iznosu od 17.426,72 € isplatiti u 2025. godini. Za 2025., 2026. i 2027. planirana su nešto veća sredstva za aktivnosti financiranja projekata udruga usmjerenih na razvoj sustava podrške žrtvama i svjedocima pružanjem potpore partnerskoj mreži organizacija za podršku i pomoć žrtvama i svjedocima u iznosu od 569.000 €, jer se planira proširenje programa na još dvije županije. Za rad Nacionalnog pozivnog centra za žrtve kaznenih djela i prekršaja 116006 za 2025., 2026. i 2027. godinu planirana su sredstva u iznosu od 91.000 €. Temeljem dokumenta  Program vlade, Prioritet 1.  Socijalna sigurnost, zadan je kao cilj jačanje kapaciteta postojećih odjela za podršku žrtvama i svjedocima na sudovima te ubrzanje njihovog osnivanje na sudovima na kojima još ne postoje. Tijekom 2023. godine osnovani su odjeli za podršku žrtvama i svjedocima, zaposleni službenici i odjeli su započeli sa radom na slijedećim županijskim sudovima: Županijski sud Šibeniku, Županijski sud Karlovcu,  Županijski sud Bjelovaru, Županijski sud u Slavonskom Brodu. Tijekom 2024. osnovani su odjeli za podršku i zaposleni službenici na Županijskim sudovima u Puli,  Varaždinu i Velikoj Gorici i Općinskom sudu u Splitu. To je ukupno 15 odjela za podršku s 29 službenika.Temeljem čl. 43. Zakona o kaznenom postupku žrtve imaju pravo na lako dostupan, povjerljiv i besplatan pristup službama za potporu žrtvama kaznenih djela, odmah nakon počinjenja kaznenog djela i onoliko dugo koliko je potrebno.Sukladno čl. 17. Pravilnika o radu odjela za podršku žrtvama i svjedocima službenici odjela su dužni sudjelovati u oblicima stručnog usavršavanja na koje ih uputi ministarstvo nadležno za poslove pravosuđa. Radi osiguranja jednoobraznog postupanja, osiguranja kvalitete rada i postupanja Ministarstvo organizira edukacije za službenike odjela za podršku.Temeljem Uredbe o unutarnjem ustrojstvu Ministarstva pravosuđa, uprave i digitalne transformacije, Služba za podršku žrtvama i svjedocima obavlja poslove institucionaliziranja i koordinacije sustava podrške žrtvama i svjedocima unutar sustava pravosuđa te obavlja poslove koordiniranja strateškim razvojem sustava podrške žrtvama i svjedocima u Republici Hrvatskoj. Među ostalim, navedeno se odnosi na nadzor i koordinaciju rada odjela za podršku žrtvama i svjedocima ustrojenih u sudovima i ujednačavanje prakse, organizaciju izobrazbe i supervizije službenika odjela za podršku na sudovima te organizaciju izobrazbe i supervizije za volontere. Radi navedenog su planirana dodatna sredstva za provedbu edukacije službenika za podršku, uključujući i službenike odjela za podršku: za dvodnevni godišnji sastanak i edukaciju službenika za podršku, kao i za online edukacije (jedna dodatna online edukacija) te za trošak 1 godišnje  online edukacije u trajanju od 6 sati za koju se plaća trošak naknade predavaču. Troškovi dvodnevnog godišnjeg sastanka i edukacije uključuju troškove za smještaj i naknade predavaču (edukacija u trajanju od 6 sati). Za potrebe edukacije službenika Odjela za podršku i Službe za podršku žrtvama i svjedocima planirana su sredstva (konto 3213) u iznosu 6.100 € godišnje. Planirana sredstva za 2025. se odnose i na izradu promotivnih materijala za Odjele za podršku žrtvama i svjedocima (leci, plakati, vizitke i brošure), a za 2026. na troškove tiskanja promidžbenih materijala za Službu za podršku žrtvama i svjedocima. Sredstva planirana za tiskanje materijala (konto 3239) za 2025. iznose  7.500 €, za 2026. 1.500 € i za 2027. 700 €.</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sklopljenih ugovora</w:t>
            </w:r>
          </w:p>
        </w:tc>
        <w:tc>
          <w:tcPr>
            <w:tcW w:w="2245.32" w:type="dxa"/>
            <w:vAlign w:val="center"/>
          </w:tcPr>
          <w:p>
            <w:pPr>
              <w:jc w:val="both"/>
              <w:pStyle w:val="CellColumn"/>
            </w:pPr>
            <w:r>
              <w:rPr>
                <w:rFonts w:hAnsi="Times New Roman" w:cs="Times New Roman"/>
              </w:rPr>
              <w:t xml:space="preserve">Sklopljeni ugovori s organizacijama civilnog društva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2</w:t>
            </w:r>
          </w:p>
        </w:tc>
      </w:tr>
    </w:tbl>
    <w:p>
      <w:pPr>
        <w:jc w:val="left"/>
      </w:pPr>
      <w:r>
        <w:rPr>
          <w:rFonts w:hAnsi="Times New Roman" w:cs="Times New Roman"/>
        </w:rPr>
        <w:t xml:space="preserve"/>
      </w:r>
    </w:p>
    <w:p>
      <w:pPr>
        <w:jc w:val="left"/>
        <w:pStyle w:val="Heading4"/>
      </w:pPr>
      <w:r>
        <w:rPr>
          <w:rFonts w:hAnsi="Times New Roman" w:cs="Times New Roman"/>
        </w:rPr>
        <w:t xml:space="preserve">A630065 PSIHOSOCIJALNI TRETMAN U KAZNENOM I PREKRŠAJNOM POSTUPKU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zaštiti od nasilja u obitelji (članak 13. i 15.), Pravilnik o provođenju zaštitne mjere obveznog psihosocijalnog tretmana, Kazeni zakon (članak 70.), Pravilnik o izvršavanju sigurnosne mjere obveznog psihosocijalnog tretmana, Zakon o probaciji, Pravilnik o načinu obavljanja probacijskih poslova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A630065-PSIHOSOCIJALNI TRETMAN U KAZNENOM I PREKRŠAJNOM POSTUPKU</w:t>
            </w:r>
          </w:p>
        </w:tc>
        <w:tc>
          <w:tcPr>
            <w:tcW w:w="1632.96" w:type="dxa"/>
            <w:vAlign w:val="center"/>
          </w:tcPr>
          <w:p>
            <w:pPr>
              <w:jc w:val="both"/>
              <w:pStyle w:val="CellColumn"/>
            </w:pPr>
            <w:r>
              <w:rPr>
                <w:rFonts w:hAnsi="Times New Roman" w:cs="Times New Roman"/>
              </w:rPr>
              <w:t xml:space="preserve">92.374</w:t>
            </w:r>
          </w:p>
        </w:tc>
        <w:tc>
          <w:tcPr>
            <w:tcW w:w="1632.96" w:type="dxa"/>
            <w:vAlign w:val="center"/>
          </w:tcPr>
          <w:p>
            <w:pPr>
              <w:jc w:val="both"/>
              <w:pStyle w:val="CellColumn"/>
            </w:pPr>
            <w:r>
              <w:rPr>
                <w:rFonts w:hAnsi="Times New Roman" w:cs="Times New Roman"/>
              </w:rPr>
              <w:t xml:space="preserve">199.085</w:t>
            </w:r>
          </w:p>
        </w:tc>
        <w:tc>
          <w:tcPr>
            <w:tcW w:w="1632.96" w:type="dxa"/>
            <w:vAlign w:val="center"/>
          </w:tcPr>
          <w:p>
            <w:pPr>
              <w:jc w:val="both"/>
              <w:pStyle w:val="CellColumn"/>
            </w:pPr>
            <w:r>
              <w:rPr>
                <w:rFonts w:hAnsi="Times New Roman" w:cs="Times New Roman"/>
              </w:rPr>
              <w:t xml:space="preserve">214.085</w:t>
            </w:r>
          </w:p>
        </w:tc>
        <w:tc>
          <w:tcPr>
            <w:tcW w:w="1632.96" w:type="dxa"/>
            <w:vAlign w:val="center"/>
          </w:tcPr>
          <w:p>
            <w:pPr>
              <w:jc w:val="both"/>
              <w:pStyle w:val="CellColumn"/>
            </w:pPr>
            <w:r>
              <w:rPr>
                <w:rFonts w:hAnsi="Times New Roman" w:cs="Times New Roman"/>
              </w:rPr>
              <w:t xml:space="preserve">214.085</w:t>
            </w:r>
          </w:p>
        </w:tc>
        <w:tc>
          <w:tcPr>
            <w:tcW w:w="1632.96" w:type="dxa"/>
            <w:vAlign w:val="center"/>
          </w:tcPr>
          <w:p>
            <w:pPr>
              <w:jc w:val="both"/>
              <w:pStyle w:val="CellColumn"/>
            </w:pPr>
            <w:r>
              <w:rPr>
                <w:rFonts w:hAnsi="Times New Roman" w:cs="Times New Roman"/>
              </w:rPr>
              <w:t xml:space="preserve">214.085</w:t>
            </w:r>
          </w:p>
        </w:tc>
        <w:tc>
          <w:tcPr>
            <w:tcW w:w="510.3" w:type="dxa"/>
            <w:vAlign w:val="center"/>
          </w:tcPr>
          <w:p>
            <w:pPr>
              <w:jc w:val="both"/>
              <w:pStyle w:val="CellColumn"/>
            </w:pPr>
            <w:r>
              <w:rPr>
                <w:rFonts w:hAnsi="Times New Roman" w:cs="Times New Roman"/>
              </w:rPr>
              <w:t xml:space="preserve">107,5</w:t>
            </w:r>
          </w:p>
        </w:tc>
      </w:tr>
    </w:tbl>
    <w:p>
      <w:pPr>
        <w:jc w:val="left"/>
      </w:pPr>
      <w:r>
        <w:rPr>
          <w:rFonts w:hAnsi="Times New Roman" w:cs="Times New Roman"/>
        </w:rPr>
        <w:t xml:space="preserve"/>
      </w:r>
    </w:p>
    <w:p>
      <w:pPr>
        <w:jc w:val="both"/>
        <w:pStyle w:val="Normal"/>
      </w:pPr>
      <w:r>
        <w:rPr>
          <w:rFonts w:hAnsi="Times New Roman" w:cs="Times New Roman"/>
        </w:rPr>
        <w:t xml:space="preserve">Ministarstvo pravosuđa i uprave s licenciranim provoditeljima zaštitne mjere obveznog psihosocijalnog tretmana (fizičkim i pravnim osobama), koje imaju odobrenje za provođenje tretmana, sklapa ugovor o provođenju zaštitne mjere obveznog psihosocijalnog tretmana (izvan zdravstvenih ustanova). Sud u prekršajnom postupku izriče zaštitnu mjeru obveznog psihosocijalnog tretmana te upućuje počinitelja, kojemu je izrečena mjera, provoditelju tretmana. Ministarstvo, temeljem potpisanog ugovora, plaća naknadu provoditeljima zaštitne mjere obveznog psihosocijalnog tretmana nakon što je proveden, a na temelju potvrde suda da je psihosocijalni tretman proveden (zaštitna mjera) te kratkog izvješća provoditelja tretmana. Zaštitnu mjeru obveznog psihosocijalnog tretmana sud može odrediti u trajanju od najmanje šest mjeseci. Važno je naglasiti da jedan počinitelj dolazi na više tretmana (sastanaka), kao i da tretman ne završava nužno u jednoj kalendarskoj godini, već se nastavlja provoditi i u sljedećoj. Svrha provođenja psihosocijalnog tretmana/zaštitne mjere obveznog psihosocijalnog tretmana je zaustavljanje i sprječavanje daljnjeg nasilničkog ponašanja postizanjem pozitivnih promjena u ponašanju počinitelja nasilja u obitelji. Cilj provođenja psihosocijalnog tretmana/zaštitne mjere obveznog psihosocijalnog tretmana je potaknuti počinitelja da prepozna svoje nasilno ponašanje, prihvati odgovornost za takvo ponašanje te usvoji obrasce nenasilnog ponašanja. Sukladno odredbi članka 4. ugovora o provođenju zaštitne mjere obveznog psihosocijalnog tretmana individualnog/grupnog psihosocijalnog tretmana, Ministarstvo se obvezuje isplatiti voditeljima/suvoditeljima naknadu u iznosu od 464,53 eura (bruto) za svakog počinitelja nasilja u obitelji koji je uključen u grupni tretman (tretmansku grupu) i koji tretman završi. Za počinitelje nasilja u obitelji koji su uključeni u individualni/grupni tretman (tretmansku grupu), ali ga ne završe, Ministarstvo se obvezuje isplatiti voditeljim/suvoditeljima razmjeran dio ugovorene naknade po počinitelju, ovisno o broju tretmanskih susreta kojima je počinitelj nasilja u obitelji prisustvovao. Ako počinitelj nasilja u obitelji nakon provedene pripremne faze tretmana (ulazne procedure) nije uključen u tretman (individualni ili grupni), Ministarstvo se obvezuje isplatiti voditelju naknadu u iznosu od najviše 79,63 (bruto) po počinitelju, prema ispostavljenom računu. Planirana sredstva u iznosu 199.085 € godišnje su dostatna za provedbu ove mjere.  U okviru ove aktivnosti se osiguravaju sredstva i za podmirenje troškova koje probacijska služba plaća vanjskim provoditeljima izvršavanja sigurnosne mjere obveznog psihosocijalnog tretmana kada je ona izrečena uz uvjetnu osudu, novčanu kaznu ili rad za opće dobro (kao sigurnosna mjera ili posebna obveza sukladno Kaznenom zakonu ili kao obveza sukladno Zakonu o kaznenom postupku). Ova sigurnosna mjera i posebna obveza nastoji se, u što većoj mjeri, provoditi unutar same probacijske službe, no kada to nije moguće Ministarstvo, na prijedlog Stručnog povjerenstvo za provedbu, praćenje i nadzor izvršavanja sigurnosne mjere obveznog psihosocijalnog tretmana, potpisuje Ugovor sa vanjskim provoditeljima, temeljem kojeg se onda osuđenici upućuju osuđenici na izvršavanje navedene mjere ili obveze. Za provedbu ove mjere iz nadležnosti probacije, planirano je 15.000 € godišnje. Planirana sredstva za 2025., 2026. i 2027. iznose po 214.085 € godišnje, a planirana su temeljem egzaktnih podataka o utrošenim sredstvima.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sklopljenih ugovora o provođenju usluga psihosocijalnog tretmana počinitelja nasilja u obitelji izvan zdravstvenih ustanova</w:t>
            </w:r>
          </w:p>
        </w:tc>
        <w:tc>
          <w:tcPr>
            <w:tcW w:w="2245.32" w:type="dxa"/>
            <w:vAlign w:val="center"/>
          </w:tcPr>
          <w:p>
            <w:pPr>
              <w:jc w:val="both"/>
              <w:pStyle w:val="CellColumn"/>
            </w:pPr>
            <w:r>
              <w:rPr>
                <w:rFonts w:hAnsi="Times New Roman" w:cs="Times New Roman"/>
              </w:rPr>
              <w:t xml:space="preserve">Povećanje broja ugovora o provođenju zaštitne mjere psihosocijalnog tretmana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32</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65</w:t>
            </w:r>
          </w:p>
        </w:tc>
        <w:tc>
          <w:tcPr>
            <w:tcW w:w="918.54" w:type="dxa"/>
            <w:vAlign w:val="center"/>
          </w:tcPr>
          <w:p>
            <w:pPr>
              <w:jc w:val="both"/>
              <w:pStyle w:val="CellColumn"/>
            </w:pPr>
            <w:r>
              <w:rPr>
                <w:rFonts w:hAnsi="Times New Roman" w:cs="Times New Roman"/>
              </w:rPr>
              <w:t xml:space="preserve">70</w:t>
            </w:r>
          </w:p>
        </w:tc>
        <w:tc>
          <w:tcPr>
            <w:tcW w:w="918.54" w:type="dxa"/>
            <w:vAlign w:val="center"/>
          </w:tcPr>
          <w:p>
            <w:pPr>
              <w:jc w:val="both"/>
              <w:pStyle w:val="CellColumn"/>
            </w:pPr>
            <w:r>
              <w:rPr>
                <w:rFonts w:hAnsi="Times New Roman" w:cs="Times New Roman"/>
              </w:rPr>
              <w:t xml:space="preserve">75</w:t>
            </w:r>
          </w:p>
        </w:tc>
      </w:tr>
    </w:tbl>
    <w:p>
      <w:pPr>
        <w:jc w:val="left"/>
      </w:pPr>
      <w:r>
        <w:rPr>
          <w:rFonts w:hAnsi="Times New Roman" w:cs="Times New Roman"/>
        </w:rPr>
        <w:t xml:space="preserve"/>
      </w:r>
    </w:p>
    <w:p>
      <w:pPr>
        <w:jc w:val="left"/>
        <w:pStyle w:val="Heading3"/>
      </w:pPr>
      <w:r>
        <w:rPr>
          <w:rFonts w:hAnsi="Times New Roman" w:cs="Times New Roman"/>
        </w:rPr>
        <w:t xml:space="preserve">2804 EDUKACIJA I INFORMIRANJE U PRAVOSUDNOM SUSTAVU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2804-EDUKACIJA I INFORMIRANJE U PRAVOSUDNOM SUSTAVU</w:t>
            </w:r>
          </w:p>
        </w:tc>
        <w:tc>
          <w:tcPr>
            <w:tcW w:w="1632.96" w:type="dxa"/>
            <w:vAlign w:val="center"/>
          </w:tcPr>
          <w:p>
            <w:pPr>
              <w:jc w:val="both"/>
              <w:pStyle w:val="CellColumn"/>
            </w:pPr>
            <w:r>
              <w:rPr>
                <w:rFonts w:hAnsi="Times New Roman" w:cs="Times New Roman"/>
              </w:rPr>
              <w:t xml:space="preserve">3.407.365</w:t>
            </w:r>
          </w:p>
        </w:tc>
        <w:tc>
          <w:tcPr>
            <w:tcW w:w="1632.96" w:type="dxa"/>
            <w:vAlign w:val="center"/>
          </w:tcPr>
          <w:p>
            <w:pPr>
              <w:jc w:val="both"/>
              <w:pStyle w:val="CellColumn"/>
            </w:pPr>
            <w:r>
              <w:rPr>
                <w:rFonts w:hAnsi="Times New Roman" w:cs="Times New Roman"/>
              </w:rPr>
              <w:t xml:space="preserve">271.453</w:t>
            </w:r>
          </w:p>
        </w:tc>
        <w:tc>
          <w:tcPr>
            <w:tcW w:w="1632.96" w:type="dxa"/>
            <w:vAlign w:val="center"/>
          </w:tcPr>
          <w:p>
            <w:pPr>
              <w:jc w:val="both"/>
              <w:pStyle w:val="CellColumn"/>
            </w:pPr>
            <w:r>
              <w:rPr>
                <w:rFonts w:hAnsi="Times New Roman" w:cs="Times New Roman"/>
              </w:rPr>
              <w:t xml:space="preserve">158.000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58,2</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profesionalizma i transparentnosti u pravosuđu</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Povećanje broja programa edukacija</w:t>
            </w:r>
          </w:p>
        </w:tc>
        <w:tc>
          <w:tcPr>
            <w:tcW w:w="2245.32" w:type="dxa"/>
            <w:vAlign w:val="center"/>
          </w:tcPr>
          <w:p>
            <w:pPr>
              <w:jc w:val="both"/>
              <w:pStyle w:val="CellColumn"/>
            </w:pPr>
            <w:r>
              <w:rPr>
                <w:rFonts w:hAnsi="Times New Roman" w:cs="Times New Roman"/>
              </w:rPr>
              <w:t xml:space="preserve">Jačanje profesionalizma izraženo kroz povećanje broja programa edukacije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64</w:t>
            </w:r>
          </w:p>
        </w:tc>
        <w:tc>
          <w:tcPr>
            <w:tcW w:w="918.54" w:type="dxa"/>
            <w:vAlign w:val="center"/>
          </w:tcPr>
          <w:p>
            <w:pPr>
              <w:jc w:val="left"/>
            </w:pPr>
            <w:r>
              <w:rPr>
                <w:rFonts w:hAnsi="Times New Roman" w:cs="Times New Roman"/>
              </w:rPr>
              <w:t xml:space="preserve"/>
            </w:r>
          </w:p>
        </w:tc>
        <w:tc>
          <w:tcPr>
            <w:tcW w:w="918.54" w:type="dxa"/>
            <w:vAlign w:val="center"/>
          </w:tcPr>
          <w:p>
            <w:pPr>
              <w:jc w:val="left"/>
            </w:pPr>
            <w:r>
              <w:rPr>
                <w:rFonts w:hAnsi="Times New Roman" w:cs="Times New Roman"/>
              </w:rPr>
              <w:t xml:space="preserve"/>
            </w:r>
          </w:p>
        </w:tc>
      </w:tr>
    </w:tbl>
    <w:p>
      <w:pPr>
        <w:jc w:val="left"/>
      </w:pPr>
      <w:r>
        <w:rPr>
          <w:rFonts w:hAnsi="Times New Roman" w:cs="Times New Roman"/>
        </w:rPr>
        <w:t xml:space="preserve"/>
      </w:r>
    </w:p>
    <w:p>
      <w:pPr>
        <w:jc w:val="left"/>
        <w:pStyle w:val="Heading4"/>
      </w:pPr>
      <w:r>
        <w:rPr>
          <w:rFonts w:hAnsi="Times New Roman" w:cs="Times New Roman"/>
        </w:rPr>
        <w:t xml:space="preserve">T544092 SUDJELOVANJE U FONDU ZA BILATERALNE ODNOSE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Memorandum o suglasnosti o provedbi Norveškog financijskog mehanizma (NFM) za razdoblje 2014.-2021. između Kraljevine Norveške i Republike Hrvatske, potpisan 3. srpnja 2018. godine, Odluka Vlade RH o uspostavljanju sustava upravljanja i kontrole korištenja Financijskog mehanizma europskog gospodarskog prostora za razdoblje od 2014. do 2021. godine i Norveškog financijskog mehanizma za razdoblje od 2014. do 2021. godine, Programski Sporazum između Ministarstva regionalnoga razvoja i fondova Europske unije i  Ministarstva vanjskih poslova Kraljevine Norveške, Sporazum o provedbi Programa „Pravosuđe i unutarnji poslovi“ između Ministarstva pravosuđa i uprave kao Upravitelja programa te Ministarstva regionalnoga razvoja i fondova Europske unije kao Nacionalne fokalne točke te Ugovor o Fondu za bilateralne odnose,  potpisan 28. ožujka 2019.</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T544092-SUDJELOVANJE U FONDU ZA BILATERALNE ODNOSE</w:t>
            </w:r>
          </w:p>
        </w:tc>
        <w:tc>
          <w:tcPr>
            <w:tcW w:w="1632.96" w:type="dxa"/>
            <w:vAlign w:val="center"/>
          </w:tcPr>
          <w:p>
            <w:pPr>
              <w:jc w:val="both"/>
              <w:pStyle w:val="CellColumn"/>
            </w:pPr>
            <w:r>
              <w:rPr>
                <w:rFonts w:hAnsi="Times New Roman" w:cs="Times New Roman"/>
              </w:rPr>
              <w:t xml:space="preserve">1.500</w:t>
            </w:r>
          </w:p>
        </w:tc>
        <w:tc>
          <w:tcPr>
            <w:tcW w:w="1632.96" w:type="dxa"/>
            <w:vAlign w:val="center"/>
          </w:tcPr>
          <w:p>
            <w:pPr>
              <w:jc w:val="both"/>
              <w:pStyle w:val="CellColumn"/>
            </w:pPr>
            <w:r>
              <w:rPr>
                <w:rFonts w:hAnsi="Times New Roman" w:cs="Times New Roman"/>
              </w:rPr>
              <w:t xml:space="preserve">269.453</w:t>
            </w:r>
          </w:p>
        </w:tc>
        <w:tc>
          <w:tcPr>
            <w:tcW w:w="1632.96" w:type="dxa"/>
            <w:vAlign w:val="center"/>
          </w:tcPr>
          <w:p>
            <w:pPr>
              <w:jc w:val="both"/>
              <w:pStyle w:val="CellColumn"/>
            </w:pPr>
            <w:r>
              <w:rPr>
                <w:rFonts w:hAnsi="Times New Roman" w:cs="Times New Roman"/>
              </w:rPr>
              <w:t xml:space="preserve">158.000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510.3" w:type="dxa"/>
            <w:vAlign w:val="center"/>
          </w:tcPr>
          <w:p>
            <w:pPr>
              <w:jc w:val="both"/>
              <w:pStyle w:val="CellColumn"/>
            </w:pPr>
            <w:r>
              <w:rPr>
                <w:rFonts w:hAnsi="Times New Roman" w:cs="Times New Roman"/>
              </w:rPr>
              <w:t xml:space="preserve">58,6</w:t>
            </w:r>
          </w:p>
        </w:tc>
      </w:tr>
    </w:tbl>
    <w:p>
      <w:pPr>
        <w:jc w:val="left"/>
      </w:pPr>
      <w:r>
        <w:rPr>
          <w:rFonts w:hAnsi="Times New Roman" w:cs="Times New Roman"/>
        </w:rPr>
        <w:t xml:space="preserve"/>
      </w:r>
    </w:p>
    <w:p>
      <w:pPr>
        <w:jc w:val="both"/>
        <w:pStyle w:val="Normal"/>
      </w:pPr>
      <w:r>
        <w:rPr>
          <w:rFonts w:hAnsi="Times New Roman" w:cs="Times New Roman"/>
        </w:rPr>
        <w:t xml:space="preserve">Fond za bilateralne odnose dio je Norveškog financijskog mehanizma 2014.-2021. te podržava implementaciju aktivnosti koje teže jačanju strateške suradnje, međupovezanosti i razmjene znanja između tijela Kraljevine Norveške i Republike Hrvatske. Na ovom projektu su planirana sredstva (IF 573 - Instrumenti Europskog gospodarskog prostora i ostali instrumenti) za 2025. u iznosu 158.000 €, a odnose na za završetak preostalih bilateralnih aktivnosti unutar Programa "Pravosuđe i unutarnji poslovi" NFM 2014.-2021., "Jačanje kapaciteta i vidljivosti zatvorskog sustava i probacije" te "Medijacija i besplatna pravna pomoć: Mogućnosti sinergije".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bilateralnih projekata u provedbi</w:t>
            </w:r>
          </w:p>
        </w:tc>
        <w:tc>
          <w:tcPr>
            <w:tcW w:w="2245.32" w:type="dxa"/>
            <w:vAlign w:val="center"/>
          </w:tcPr>
          <w:p>
            <w:pPr>
              <w:jc w:val="both"/>
              <w:pStyle w:val="CellColumn"/>
            </w:pPr>
            <w:r>
              <w:rPr>
                <w:rFonts w:hAnsi="Times New Roman" w:cs="Times New Roman"/>
              </w:rPr>
              <w:t xml:space="preserve">Bilateralni projekti odobreni u okviru Programa Pravosuđe i unutarnji poslovi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3"/>
      </w:pPr>
      <w:r>
        <w:rPr>
          <w:rFonts w:hAnsi="Times New Roman" w:cs="Times New Roman"/>
        </w:rPr>
        <w:t xml:space="preserve">2806 IZGRADNJA, OBNOVA, ODRŽAVANJE I OPREMANJE ZGRADA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2806-IZGRADNJA, OBNOVA, ODRŽAVANJE I OPREMANJE ZGRADA</w:t>
            </w:r>
          </w:p>
        </w:tc>
        <w:tc>
          <w:tcPr>
            <w:tcW w:w="1632.96" w:type="dxa"/>
            <w:vAlign w:val="center"/>
          </w:tcPr>
          <w:p>
            <w:pPr>
              <w:jc w:val="both"/>
              <w:pStyle w:val="CellColumn"/>
            </w:pPr>
            <w:r>
              <w:rPr>
                <w:rFonts w:hAnsi="Times New Roman" w:cs="Times New Roman"/>
              </w:rPr>
              <w:t xml:space="preserve">37.800.465</w:t>
            </w:r>
          </w:p>
        </w:tc>
        <w:tc>
          <w:tcPr>
            <w:tcW w:w="1632.96" w:type="dxa"/>
            <w:vAlign w:val="center"/>
          </w:tcPr>
          <w:p>
            <w:pPr>
              <w:jc w:val="both"/>
              <w:pStyle w:val="CellColumn"/>
            </w:pPr>
            <w:r>
              <w:rPr>
                <w:rFonts w:hAnsi="Times New Roman" w:cs="Times New Roman"/>
              </w:rPr>
              <w:t xml:space="preserve">11.609.077</w:t>
            </w:r>
          </w:p>
        </w:tc>
        <w:tc>
          <w:tcPr>
            <w:tcW w:w="1632.96" w:type="dxa"/>
            <w:vAlign w:val="center"/>
          </w:tcPr>
          <w:p>
            <w:pPr>
              <w:jc w:val="both"/>
              <w:pStyle w:val="CellColumn"/>
            </w:pPr>
            <w:r>
              <w:rPr>
                <w:rFonts w:hAnsi="Times New Roman" w:cs="Times New Roman"/>
              </w:rPr>
              <w:t xml:space="preserve">38.656.600</w:t>
            </w:r>
          </w:p>
        </w:tc>
        <w:tc>
          <w:tcPr>
            <w:tcW w:w="1632.96" w:type="dxa"/>
            <w:vAlign w:val="center"/>
          </w:tcPr>
          <w:p>
            <w:pPr>
              <w:jc w:val="both"/>
              <w:pStyle w:val="CellColumn"/>
            </w:pPr>
            <w:r>
              <w:rPr>
                <w:rFonts w:hAnsi="Times New Roman" w:cs="Times New Roman"/>
              </w:rPr>
              <w:t xml:space="preserve">33.844.000</w:t>
            </w:r>
          </w:p>
        </w:tc>
        <w:tc>
          <w:tcPr>
            <w:tcW w:w="1632.96" w:type="dxa"/>
            <w:vAlign w:val="center"/>
          </w:tcPr>
          <w:p>
            <w:pPr>
              <w:jc w:val="both"/>
              <w:pStyle w:val="CellColumn"/>
            </w:pPr>
            <w:r>
              <w:rPr>
                <w:rFonts w:hAnsi="Times New Roman" w:cs="Times New Roman"/>
              </w:rPr>
              <w:t xml:space="preserve">27.529.500</w:t>
            </w:r>
          </w:p>
        </w:tc>
        <w:tc>
          <w:tcPr>
            <w:tcW w:w="510.3" w:type="dxa"/>
            <w:vAlign w:val="center"/>
          </w:tcPr>
          <w:p>
            <w:pPr>
              <w:jc w:val="both"/>
              <w:pStyle w:val="CellColumn"/>
            </w:pPr>
            <w:r>
              <w:rPr>
                <w:rFonts w:hAnsi="Times New Roman" w:cs="Times New Roman"/>
              </w:rPr>
              <w:t xml:space="preserve">333,0</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učinkovitosti pravosuđa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Povećana pristupačnost pravosudnom sustavu kroz povećan broj ulaganja u fizičku infrastrukturu</w:t>
            </w:r>
          </w:p>
        </w:tc>
        <w:tc>
          <w:tcPr>
            <w:tcW w:w="2245.32" w:type="dxa"/>
            <w:vAlign w:val="center"/>
          </w:tcPr>
          <w:p>
            <w:pPr>
              <w:jc w:val="both"/>
              <w:pStyle w:val="CellColumn"/>
            </w:pPr>
            <w:r>
              <w:rPr>
                <w:rFonts w:hAnsi="Times New Roman" w:cs="Times New Roman"/>
              </w:rPr>
              <w:t xml:space="preserve">Modernizacija i unapređenje pravosudnog sustava (pravosudna i kaznena tijela) kroz ulaganje u fizičku infrastrukturu što rezultira boljim uvjetima rada te većoj učinkovitosti pravosuđa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14</w:t>
            </w:r>
          </w:p>
        </w:tc>
      </w:tr>
    </w:tbl>
    <w:p>
      <w:pPr>
        <w:jc w:val="left"/>
      </w:pPr>
      <w:r>
        <w:rPr>
          <w:rFonts w:hAnsi="Times New Roman" w:cs="Times New Roman"/>
        </w:rPr>
        <w:t xml:space="preserve"/>
      </w:r>
    </w:p>
    <w:p>
      <w:pPr>
        <w:jc w:val="left"/>
        <w:pStyle w:val="Heading4"/>
      </w:pPr>
      <w:r>
        <w:rPr>
          <w:rFonts w:hAnsi="Times New Roman" w:cs="Times New Roman"/>
        </w:rPr>
        <w:t xml:space="preserve">K544100 DAROVNICA KRALJEVINE NORVEŠKE 2014-2021</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Memorandum o suglasnosti o provedbi Norveškog financijskog mehanizma (NFM) za razdoblje 2014.-2021. između Kraljevine Norveške i Republike Hrvatske potpisan 3. srpnja 2018. godine, Odluka Vlade RH o uspostavljanju sustava upravljanja i kontrole korištenja Financijskog mehanizma europskog gospodarskog prostora za razdoblje od 2014. do 2021. godine i Norveškog financijskog mehanizma za razdoblje od 2014. do 2021. godine, Programski Sporazum između Ministarstva regionalnoga razvoja i fondova Europske unije i  Ministarstva vanjskih poslova Kraljevine Norveške te Sporazum o provedbi Programa „Pravosuđe i unutarnji poslovi“ između Ministarstva pravosuđa i uprave kao Upravitelja programa te Ministarstva regionalnoga razvoja i fondova Europske unije kao Nacionalne fokalne točke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K544100-DAROVNICA KRALJEVINE NORVEŠKE 2014-2021</w:t>
            </w:r>
          </w:p>
        </w:tc>
        <w:tc>
          <w:tcPr>
            <w:tcW w:w="1632.96" w:type="dxa"/>
            <w:vAlign w:val="center"/>
          </w:tcPr>
          <w:p>
            <w:pPr>
              <w:jc w:val="both"/>
              <w:pStyle w:val="CellColumn"/>
            </w:pPr>
            <w:r>
              <w:rPr>
                <w:rFonts w:hAnsi="Times New Roman" w:cs="Times New Roman"/>
              </w:rPr>
              <w:t xml:space="preserve">6.393.693</w:t>
            </w:r>
          </w:p>
        </w:tc>
        <w:tc>
          <w:tcPr>
            <w:tcW w:w="1632.96" w:type="dxa"/>
            <w:vAlign w:val="center"/>
          </w:tcPr>
          <w:p>
            <w:pPr>
              <w:jc w:val="both"/>
              <w:pStyle w:val="CellColumn"/>
            </w:pPr>
            <w:r>
              <w:rPr>
                <w:rFonts w:hAnsi="Times New Roman" w:cs="Times New Roman"/>
              </w:rPr>
              <w:t xml:space="preserve">1.228.463</w:t>
            </w:r>
          </w:p>
        </w:tc>
        <w:tc>
          <w:tcPr>
            <w:tcW w:w="1632.96" w:type="dxa"/>
            <w:vAlign w:val="center"/>
          </w:tcPr>
          <w:p>
            <w:pPr>
              <w:jc w:val="both"/>
              <w:pStyle w:val="CellColumn"/>
            </w:pPr>
            <w:r>
              <w:rPr>
                <w:rFonts w:hAnsi="Times New Roman" w:cs="Times New Roman"/>
              </w:rPr>
              <w:t xml:space="preserve">113.800</w:t>
            </w:r>
          </w:p>
        </w:tc>
        <w:tc>
          <w:tcPr>
            <w:tcW w:w="1632.96" w:type="dxa"/>
            <w:vAlign w:val="center"/>
          </w:tcPr>
          <w:p>
            <w:pPr>
              <w:jc w:val="both"/>
              <w:pStyle w:val="CellColumn"/>
            </w:pPr>
            <w:r>
              <w:rPr>
                <w:rFonts w:hAnsi="Times New Roman" w:cs="Times New Roman"/>
              </w:rPr>
              <w:t xml:space="preserve">30.000</w:t>
            </w:r>
          </w:p>
        </w:tc>
        <w:tc>
          <w:tcPr>
            <w:tcW w:w="1632.96" w:type="dxa"/>
            <w:vAlign w:val="center"/>
          </w:tcPr>
          <w:p>
            <w:pPr>
              <w:jc w:val="both"/>
              <w:pStyle w:val="CellColumn"/>
            </w:pPr>
            <w:r>
              <w:rPr>
                <w:rFonts w:hAnsi="Times New Roman" w:cs="Times New Roman"/>
              </w:rPr>
              <w:t xml:space="preserve">30.000</w:t>
            </w:r>
          </w:p>
        </w:tc>
        <w:tc>
          <w:tcPr>
            <w:tcW w:w="510.3" w:type="dxa"/>
            <w:vAlign w:val="center"/>
          </w:tcPr>
          <w:p>
            <w:pPr>
              <w:jc w:val="both"/>
              <w:pStyle w:val="CellColumn"/>
            </w:pPr>
            <w:r>
              <w:rPr>
                <w:rFonts w:hAnsi="Times New Roman" w:cs="Times New Roman"/>
              </w:rPr>
              <w:t xml:space="preserve">9,3</w:t>
            </w:r>
          </w:p>
        </w:tc>
      </w:tr>
    </w:tbl>
    <w:p>
      <w:pPr>
        <w:jc w:val="left"/>
      </w:pPr>
      <w:r>
        <w:rPr>
          <w:rFonts w:hAnsi="Times New Roman" w:cs="Times New Roman"/>
        </w:rPr>
        <w:t xml:space="preserve"/>
      </w:r>
    </w:p>
    <w:p>
      <w:pPr>
        <w:jc w:val="both"/>
        <w:pStyle w:val="Normal"/>
      </w:pPr>
      <w:r>
        <w:rPr>
          <w:rFonts w:hAnsi="Times New Roman" w:cs="Times New Roman"/>
        </w:rPr>
        <w:t xml:space="preserve">Planirana su sredstva za 2025. se odnose na dovršetak programa "Pravosuđe i unutarnji poslovi", za troškove održavanja sastanaka Odbora za praćenje Programa te troškove rada tima Upravitelja Programa.</w:t>
      </w:r>
    </w:p>
    <w:p>
      <w:pPr>
        <w:jc w:val="left"/>
        <w:pStyle w:val="Heading4"/>
      </w:pPr>
      <w:r>
        <w:rPr>
          <w:rFonts w:hAnsi="Times New Roman" w:cs="Times New Roman"/>
        </w:rPr>
        <w:t xml:space="preserve">K544101 PROJEKT REKONSTRUKCIJE I ADAPTACIJE ZGRADA PRAVOSUDNIH TIJELA, IBRD ZAJAM</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Ugovor o zajmu između Republike Hrvatske i Međunarodne banke za obnovu i razvoj (SB) za Projekt učinkovitog pravosuđa za bolje poslovno okruženje (J4B), potpisan 15. travnja 2020. godine, Zakon o potvrđivanju Ugovora o zajmu broj 9057-HR između Republike Hrvatske i Međunarodne banke za obnovu i razvoj za Projekt učinkovitog pravosuđa za bolje poslovno okruženje (Justice for Business Project) od 18. svibnja 2020.</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K544101-PROJEKT REKONSTRUKCIJE I ADAPTACIJE ZGRADA PRAVOSUDNIH TIJELA, IBRD ZAJAM</w:t>
            </w:r>
          </w:p>
        </w:tc>
        <w:tc>
          <w:tcPr>
            <w:tcW w:w="1632.96" w:type="dxa"/>
            <w:vAlign w:val="center"/>
          </w:tcPr>
          <w:p>
            <w:pPr>
              <w:jc w:val="both"/>
              <w:pStyle w:val="CellColumn"/>
            </w:pPr>
            <w:r>
              <w:rPr>
                <w:rFonts w:hAnsi="Times New Roman" w:cs="Times New Roman"/>
              </w:rPr>
              <w:t xml:space="preserve">11.081.644</w:t>
            </w:r>
          </w:p>
        </w:tc>
        <w:tc>
          <w:tcPr>
            <w:tcW w:w="1632.96" w:type="dxa"/>
            <w:vAlign w:val="center"/>
          </w:tcPr>
          <w:p>
            <w:pPr>
              <w:jc w:val="both"/>
              <w:pStyle w:val="CellColumn"/>
            </w:pPr>
            <w:r>
              <w:rPr>
                <w:rFonts w:hAnsi="Times New Roman" w:cs="Times New Roman"/>
              </w:rPr>
              <w:t xml:space="preserve">1.500.000</w:t>
            </w:r>
          </w:p>
        </w:tc>
        <w:tc>
          <w:tcPr>
            <w:tcW w:w="1632.96" w:type="dxa"/>
            <w:vAlign w:val="center"/>
          </w:tcPr>
          <w:p>
            <w:pPr>
              <w:jc w:val="both"/>
              <w:pStyle w:val="CellColumn"/>
            </w:pPr>
            <w:r>
              <w:rPr>
                <w:rFonts w:hAnsi="Times New Roman" w:cs="Times New Roman"/>
              </w:rPr>
              <w:t xml:space="preserve">12.300.000</w:t>
            </w:r>
          </w:p>
        </w:tc>
        <w:tc>
          <w:tcPr>
            <w:tcW w:w="1632.96" w:type="dxa"/>
            <w:vAlign w:val="center"/>
          </w:tcPr>
          <w:p>
            <w:pPr>
              <w:jc w:val="both"/>
              <w:pStyle w:val="CellColumn"/>
            </w:pPr>
            <w:r>
              <w:rPr>
                <w:rFonts w:hAnsi="Times New Roman" w:cs="Times New Roman"/>
              </w:rPr>
              <w:t xml:space="preserve">13.500.000</w:t>
            </w:r>
          </w:p>
        </w:tc>
        <w:tc>
          <w:tcPr>
            <w:tcW w:w="1632.96" w:type="dxa"/>
            <w:vAlign w:val="center"/>
          </w:tcPr>
          <w:p>
            <w:pPr>
              <w:jc w:val="both"/>
              <w:pStyle w:val="CellColumn"/>
            </w:pPr>
            <w:r>
              <w:rPr>
                <w:rFonts w:hAnsi="Times New Roman" w:cs="Times New Roman"/>
              </w:rPr>
              <w:t xml:space="preserve">2.200.000</w:t>
            </w:r>
          </w:p>
        </w:tc>
        <w:tc>
          <w:tcPr>
            <w:tcW w:w="510.3" w:type="dxa"/>
            <w:vAlign w:val="center"/>
          </w:tcPr>
          <w:p>
            <w:pPr>
              <w:jc w:val="both"/>
              <w:pStyle w:val="CellColumn"/>
            </w:pPr>
            <w:r>
              <w:rPr>
                <w:rFonts w:hAnsi="Times New Roman" w:cs="Times New Roman"/>
              </w:rPr>
              <w:t xml:space="preserve">820,0</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(IF 810) odnose se na provedbu rekonstrukcije i adaptacije zgrada pravosudnih tijela. Ugovor o zajmu između Republike Hrvatske i Međunarodne banke za obnovu i razvoj (SB) za Projekt učinkovitog pravosuđa za bolje poslovno okruženje (J4B), potpisan je 15. travnja 2020. Hrvatski Sabor je na sjednici 18. svibnja 2020. donio Zakon o potvrđivanju Ugovora o zajmu između Republike Hrvatske i Međunarodne banke za obnovu i razvoj za Projekt učinkovitog pravosuđa za bolje poslovno okruženje. Zajam je postao efektivan 29. lipnja 2020. godine. Svrha provedbe ovog Projekta je podrška Republici Hrvatskoj u daljnjem osnaživanju gospodarske klime i unaprjeđenju poslovnog okruženja, s fokusom na podršku pravosudnom sektoru sa stajališta učinkovitosti, transparentnosti i troška. Razvojni cilj Projekta je unaprijediti postupke vezane uz poslovne propise i standarde usluga koje sudovi pružaju gospodarstvu i građanima. Cilj provedbe aktivnosti je učinkovitiji pravosudni sustav kroz jačanje infrastrukturnih uvjeta rada sudova, odnosno poboljšanje radnih uvjeta ulaganjem u pravosudnu infrastrukturu. U okviru Projekta planirani su zahvati na rekonstrukciji i adaptaciji zgrada pravosudnih tijela: Općinski građanski sud u Zagrebu, Općinski sud u Vinkovcima, Općinski sud u Kutini i Županijski sud u Varaždinu. Na ovom kapitalnom projektu su za 2025. su planirana sredstva u iznosu 12.300.000 €, što je za 10.800.000 € više u odnosu na Tekući plan 2024. Važno je naglasiti da je prilikom izrade Izmjena i dopuna Financijskog plana Ministarstva za 2024. otpušteno 13.100.000 €, jer se projektne aktivnosti nisu provodile planiranom dinamikom, međutim, sredstva je potrebno osigurati za sljedeće proračunsko razdoblje.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rekonstruiranih i adaptiranih zgrada</w:t>
            </w:r>
          </w:p>
        </w:tc>
        <w:tc>
          <w:tcPr>
            <w:tcW w:w="2245.32" w:type="dxa"/>
            <w:vAlign w:val="center"/>
          </w:tcPr>
          <w:p>
            <w:pPr>
              <w:jc w:val="both"/>
              <w:pStyle w:val="CellColumn"/>
            </w:pPr>
            <w:r>
              <w:rPr>
                <w:rFonts w:hAnsi="Times New Roman" w:cs="Times New Roman"/>
              </w:rPr>
              <w:t xml:space="preserve">Zgrade pravosudnih tijela koje će se rekonstruirati i adaptirati sredstvima zajma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ugovor/zakon o potvrđivanju međunarodnog ugovora</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3</w:t>
            </w:r>
          </w:p>
        </w:tc>
      </w:tr>
    </w:tbl>
    <w:p>
      <w:pPr>
        <w:jc w:val="left"/>
      </w:pPr>
      <w:r>
        <w:rPr>
          <w:rFonts w:hAnsi="Times New Roman" w:cs="Times New Roman"/>
        </w:rPr>
        <w:t xml:space="preserve"/>
      </w:r>
    </w:p>
    <w:p>
      <w:pPr>
        <w:jc w:val="left"/>
        <w:pStyle w:val="Heading4"/>
      </w:pPr>
      <w:r>
        <w:rPr>
          <w:rFonts w:hAnsi="Times New Roman" w:cs="Times New Roman"/>
        </w:rPr>
        <w:t xml:space="preserve">K629022 UREĐENJE I OPREMANJE PRAVOSUDNIH TIJELA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(čl. 71. i 72.), Zakon o državnom odvjetništvu (čl. 66.)</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K629022-UREĐENJE I OPREMANJE PRAVOSUDNIH TIJELA</w:t>
            </w:r>
          </w:p>
        </w:tc>
        <w:tc>
          <w:tcPr>
            <w:tcW w:w="1632.96" w:type="dxa"/>
            <w:vAlign w:val="center"/>
          </w:tcPr>
          <w:p>
            <w:pPr>
              <w:jc w:val="both"/>
              <w:pStyle w:val="CellColumn"/>
            </w:pPr>
            <w:r>
              <w:rPr>
                <w:rFonts w:hAnsi="Times New Roman" w:cs="Times New Roman"/>
              </w:rPr>
              <w:t xml:space="preserve">2.522.148</w:t>
            </w:r>
          </w:p>
        </w:tc>
        <w:tc>
          <w:tcPr>
            <w:tcW w:w="1632.96" w:type="dxa"/>
            <w:vAlign w:val="center"/>
          </w:tcPr>
          <w:p>
            <w:pPr>
              <w:jc w:val="both"/>
              <w:pStyle w:val="CellColumn"/>
            </w:pPr>
            <w:r>
              <w:rPr>
                <w:rFonts w:hAnsi="Times New Roman" w:cs="Times New Roman"/>
              </w:rPr>
              <w:t xml:space="preserve">3.610.590</w:t>
            </w:r>
          </w:p>
        </w:tc>
        <w:tc>
          <w:tcPr>
            <w:tcW w:w="1632.96" w:type="dxa"/>
            <w:vAlign w:val="center"/>
          </w:tcPr>
          <w:p>
            <w:pPr>
              <w:jc w:val="both"/>
              <w:pStyle w:val="CellColumn"/>
            </w:pPr>
            <w:r>
              <w:rPr>
                <w:rFonts w:hAnsi="Times New Roman" w:cs="Times New Roman"/>
              </w:rPr>
              <w:t xml:space="preserve">2.875.000</w:t>
            </w:r>
          </w:p>
        </w:tc>
        <w:tc>
          <w:tcPr>
            <w:tcW w:w="1632.96" w:type="dxa"/>
            <w:vAlign w:val="center"/>
          </w:tcPr>
          <w:p>
            <w:pPr>
              <w:jc w:val="both"/>
              <w:pStyle w:val="CellColumn"/>
            </w:pPr>
            <w:r>
              <w:rPr>
                <w:rFonts w:hAnsi="Times New Roman" w:cs="Times New Roman"/>
              </w:rPr>
              <w:t xml:space="preserve">3.785.000</w:t>
            </w:r>
          </w:p>
        </w:tc>
        <w:tc>
          <w:tcPr>
            <w:tcW w:w="1632.96" w:type="dxa"/>
            <w:vAlign w:val="center"/>
          </w:tcPr>
          <w:p>
            <w:pPr>
              <w:jc w:val="both"/>
              <w:pStyle w:val="CellColumn"/>
            </w:pPr>
            <w:r>
              <w:rPr>
                <w:rFonts w:hAnsi="Times New Roman" w:cs="Times New Roman"/>
              </w:rPr>
              <w:t xml:space="preserve">4.345.000</w:t>
            </w:r>
          </w:p>
        </w:tc>
        <w:tc>
          <w:tcPr>
            <w:tcW w:w="510.3" w:type="dxa"/>
            <w:vAlign w:val="center"/>
          </w:tcPr>
          <w:p>
            <w:pPr>
              <w:jc w:val="both"/>
              <w:pStyle w:val="CellColumn"/>
            </w:pPr>
            <w:r>
              <w:rPr>
                <w:rFonts w:hAnsi="Times New Roman" w:cs="Times New Roman"/>
              </w:rPr>
              <w:t xml:space="preserve">79,6</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planirana sredstva (IF 11 i IF 52) koja se odnose na osiguranje prostornih i materijalnih uvjeta za rad pravosudnih tijela, sukladno iskazanim potrebama, što uključuje nabavu uredskog namještaja i opreme, komunikacijske opreme i opreme za održavanje i zaštitu u svrhu uređenja i opremanja poslovnih prostora te investicijska ulaganja u fond zgrada koje koriste pravosudna tijela za svoje djelovanje. Rashodi u iznosu 875.000 € planirani na stavci 422 - Postrojenja i opremu se, sukladno iskazanim potrebama i zahtjevima korisnika, odnose na nabavu uredskog namještaja, uredske opreme, ostale uredske opreme, komunikacijske opreme i opreme za održavanje i zaštitu u svrhu uređenja i opremanja poslovnih prostora svih pravosudnih tijela. Sredstva u iznosu 1.800.000 € planirana su za dodatna ulaganja na građevinskim objektima (stavka 451), odnosno za rekonstrukciju, održavanje ili obnovu postojećih zgrada. Izračun troška je napravljen na temelju procjene troškova iskazanih u projektnoj dokumentaciji gradnje, odnosno temeljem objavljenih stručnih analiza vezanih uz procjene troškova gradnje ovisno o obuhvatu pojedinog projekta te sukladno iskazanim potrebama pravosudnih tijela i povijesnim podacima. Projekcije za 2026. i 2027. na stavkama 4212 i 451 su veće u odnosu na plan 2025., jer se smanjuju ulaganja u infrastrukturne objekte putem sufinanciranja kroz NPOO, dok potrebe pravosudnih tijela za ulaganjima i dalje ostaju.Nužno je osigurati kontinuirano ulaganje u građevinske objekte koje koriste pravosudna tijela, zbog izrazito lošeg stanja fonda zgrada prvosudne infrastrukture, potrebe prilagodbe prostora suvremenim standardima te produljenja vijeka trajanja građevina obnovom različitog obuhvata. U sljedećem proračunskom razdoblju su, sukladno iskazanim potrebama korisnika, planirana sljedeća ulaganja: rekonstrukcija i dogradnja zgrade pravosudnih tijela u  Dubrovniku (3.200.000 € - postupak javne nabave za izvođenje radova i stručno obračunski nadzor u tijeku), dogradnja suda u Đurđevcu (860.000 € - sukladno ugovoru o sufinanciranju, projekt provodi Grad Đurđevac), nadogradnja ŽDO Vukovar (800.000 € - u tijeku je ishođenje građevinske dozvole), uređenje ODO Zadar (750.000 € - u tijeku je izrada projektne dokumentacije nakon potpisivanja sporazuma o korištenju prostora s MUP-om)  i dr.Planirana sredstva na ovoj aktivnosti za 2025. godinu iznose 2.875.000 € (IF 11 2.835.000 €, IF 52 40.000 €),  za 2026.  3.785.000 € (IF 11 3.745.000 €, IF 52 40.000 €) i za 2027. 4.345.000 € (IF 11).</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izvršenih ugovora vezanih uz gradnju</w:t>
            </w:r>
          </w:p>
        </w:tc>
        <w:tc>
          <w:tcPr>
            <w:tcW w:w="2245.32" w:type="dxa"/>
            <w:vAlign w:val="center"/>
          </w:tcPr>
          <w:p>
            <w:pPr>
              <w:jc w:val="both"/>
              <w:pStyle w:val="CellColumn"/>
            </w:pPr>
            <w:r>
              <w:rPr>
                <w:rFonts w:hAnsi="Times New Roman" w:cs="Times New Roman"/>
              </w:rPr>
              <w:t xml:space="preserve">Završetak naručenih, ugovorenih usluga  i radova vezanih uz rekonstrukciju, adaptaciju i izgradnju zgrada za potrebe rada pravosdunih tijela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9</w:t>
            </w:r>
          </w:p>
        </w:tc>
        <w:tc>
          <w:tcPr>
            <w:tcW w:w="918.54" w:type="dxa"/>
            <w:vAlign w:val="center"/>
          </w:tcPr>
          <w:p>
            <w:pPr>
              <w:jc w:val="both"/>
              <w:pStyle w:val="CellColumn"/>
            </w:pPr>
            <w:r>
              <w:rPr>
                <w:rFonts w:hAnsi="Times New Roman" w:cs="Times New Roman"/>
              </w:rPr>
              <w:t xml:space="preserve">10</w:t>
            </w:r>
          </w:p>
        </w:tc>
        <w:tc>
          <w:tcPr>
            <w:tcW w:w="918.54" w:type="dxa"/>
            <w:vAlign w:val="center"/>
          </w:tcPr>
          <w:p>
            <w:pPr>
              <w:jc w:val="both"/>
              <w:pStyle w:val="CellColumn"/>
            </w:pPr>
            <w:r>
              <w:rPr>
                <w:rFonts w:hAnsi="Times New Roman" w:cs="Times New Roman"/>
              </w:rPr>
              <w:t xml:space="preserve">8</w:t>
            </w:r>
          </w:p>
        </w:tc>
      </w:tr>
      <w:tr>
        <w:trPr>
          <w:cantSplit/>
        </w:trPr>
        <w:tc>
          <w:tcPr>
            <w:tcW w:w="2245.32" w:type="dxa"/>
            <w:vAlign w:val="center"/>
          </w:tcPr>
          <w:p>
            <w:pPr>
              <w:jc w:val="both"/>
              <w:pStyle w:val="CellColumn"/>
            </w:pPr>
            <w:r>
              <w:rPr>
                <w:rFonts w:hAnsi="Times New Roman" w:cs="Times New Roman"/>
              </w:rPr>
              <w:t xml:space="preserve">Postotak opremljenih pravosudnih rijela</w:t>
            </w:r>
          </w:p>
        </w:tc>
        <w:tc>
          <w:tcPr>
            <w:tcW w:w="2245.32" w:type="dxa"/>
            <w:vAlign w:val="center"/>
          </w:tcPr>
          <w:p>
            <w:pPr>
              <w:jc w:val="both"/>
              <w:pStyle w:val="CellColumn"/>
            </w:pPr>
            <w:r>
              <w:rPr>
                <w:rFonts w:hAnsi="Times New Roman" w:cs="Times New Roman"/>
              </w:rPr>
              <w:t xml:space="preserve">Izvršenje naručenih, ugovorenih usluga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90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K629023 UREĐENJE I OPREMANJE KAZNENIH TIJELA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izvršavanju kazne zatvora, Zakon o izvršavanju sankcija izrečenih maloljetnicima za kaznena djela i prekršaje, Uredba o zvanjima, znakovlju i uvjetima stjecanja zvanja državnih službenika odjela osiguranja u kaznionicama i zatvorima, Pravilnik o poslovima osiguranja u zatvorskom sustavu, Pravilnik o kućnom redu u zatvorima za izvršavanje istražnog zatvora, Pravilnik o službenoj iskaznici i znački ovlaštene službene osobe upravne organizacije za zatvorski sustav ministarstva nadležnog za poslove pravosuđa, Pravilnik o posebnoj psihičkoj i tjelesnoj zdravstvenoj sposobnosti službenika pravosudne policije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K629023-UREĐENJE I OPREMANJE KAZNENIH TIJELA</w:t>
            </w:r>
          </w:p>
        </w:tc>
        <w:tc>
          <w:tcPr>
            <w:tcW w:w="1632.96" w:type="dxa"/>
            <w:vAlign w:val="center"/>
          </w:tcPr>
          <w:p>
            <w:pPr>
              <w:jc w:val="both"/>
              <w:pStyle w:val="CellColumn"/>
            </w:pPr>
            <w:r>
              <w:rPr>
                <w:rFonts w:hAnsi="Times New Roman" w:cs="Times New Roman"/>
              </w:rPr>
              <w:t xml:space="preserve">1.021.450</w:t>
            </w:r>
          </w:p>
        </w:tc>
        <w:tc>
          <w:tcPr>
            <w:tcW w:w="1632.96" w:type="dxa"/>
            <w:vAlign w:val="center"/>
          </w:tcPr>
          <w:p>
            <w:pPr>
              <w:jc w:val="both"/>
              <w:pStyle w:val="CellColumn"/>
            </w:pPr>
            <w:r>
              <w:rPr>
                <w:rFonts w:hAnsi="Times New Roman" w:cs="Times New Roman"/>
              </w:rPr>
              <w:t xml:space="preserve">559.957</w:t>
            </w:r>
          </w:p>
        </w:tc>
        <w:tc>
          <w:tcPr>
            <w:tcW w:w="1632.96" w:type="dxa"/>
            <w:vAlign w:val="center"/>
          </w:tcPr>
          <w:p>
            <w:pPr>
              <w:jc w:val="both"/>
              <w:pStyle w:val="CellColumn"/>
            </w:pPr>
            <w:r>
              <w:rPr>
                <w:rFonts w:hAnsi="Times New Roman" w:cs="Times New Roman"/>
              </w:rPr>
              <w:t xml:space="preserve">11.048.000</w:t>
            </w:r>
          </w:p>
        </w:tc>
        <w:tc>
          <w:tcPr>
            <w:tcW w:w="1632.96" w:type="dxa"/>
            <w:vAlign w:val="center"/>
          </w:tcPr>
          <w:p>
            <w:pPr>
              <w:jc w:val="both"/>
              <w:pStyle w:val="CellColumn"/>
            </w:pPr>
            <w:r>
              <w:rPr>
                <w:rFonts w:hAnsi="Times New Roman" w:cs="Times New Roman"/>
              </w:rPr>
              <w:t xml:space="preserve">11.335.000</w:t>
            </w:r>
          </w:p>
        </w:tc>
        <w:tc>
          <w:tcPr>
            <w:tcW w:w="1632.96" w:type="dxa"/>
            <w:vAlign w:val="center"/>
          </w:tcPr>
          <w:p>
            <w:pPr>
              <w:jc w:val="both"/>
              <w:pStyle w:val="CellColumn"/>
            </w:pPr>
            <w:r>
              <w:rPr>
                <w:rFonts w:hAnsi="Times New Roman" w:cs="Times New Roman"/>
              </w:rPr>
              <w:t xml:space="preserve">14.200.000</w:t>
            </w:r>
          </w:p>
        </w:tc>
        <w:tc>
          <w:tcPr>
            <w:tcW w:w="510.3" w:type="dxa"/>
            <w:vAlign w:val="center"/>
          </w:tcPr>
          <w:p>
            <w:pPr>
              <w:jc w:val="both"/>
              <w:pStyle w:val="CellColumn"/>
            </w:pPr>
            <w:r>
              <w:rPr>
                <w:rFonts w:hAnsi="Times New Roman" w:cs="Times New Roman"/>
              </w:rPr>
              <w:t xml:space="preserve">1973,0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za tehničko opremanje kaznenih tijela, najvećim dijelom za nabavu naoružanja, detektora metala, metaldetektorskih vrata, uređaja za alkotestiranje, endoskopa za pretrage, rendgen uređaja za pregled prtljage, opreme za interventni tim, patrona, sustava videonadzora i komunikacijske opreme i za dodatna ulaganja na građevinskim objektima, odnosno sanaciju, adaptaciju i izgradnju zgrada zatvorskog sustava u cilju povećanja standarda poslovnog prostora te primjerenog smještaja zatvorenika. Na stavci 4212 planirana su sredstva u iznosu 3.500.000 € za 2025. i po 3.000.000 € za 2026. i 2027. za izgradnju novih objekata u kaznenim tijelima.  Prva standardizirana modularna gradnja, kapaciteta po 150 zatvorenika, će se u razdoblju 2025.-2026. graditi u Zatvoru u Varaždinu i u Kaznionici Lipovici-Popovači, za što je proveden postupak javne nabave. Procijenjena vrijednost investicije je je 5.000.000 € s PDV-om, a uključuje izradu projektne dokumentacije i izgradnju na rok od 20 mjeseci. Uskoro se očekuje potpisivanje ugovora za izgradnju prvog velikog zatvora kapaciteta oko 400 zatvorenika, na području Općine Perušić, za što su potpisani sporazumi s jedinicama lokalne odnosno područne (regionalne) samouprave. Izgradnja Zatvora u Perušiću će se financirati sredstvima zajma  Razvojne banke Vijeća Europe (CEB) u omjeru 70% zajam, 30% proračunska sredstva. Planirano potpisivanje ugovora o zajmu je tijekom 2026., nakon čega će se otvoriti stavka u financijskom planu Ministarstva. Tijekom listopada ili studenog 2024. bi se trebao potpisati Ugovor o dodjeli bespovratnih sredstva sa CEB-om (završne aktivnosti su u tijeku) iz kojeg bi se financirala studija izvedivosti i operativni plan Projekta kao podloga za potpisivanje Zajma (izrada navedenih dokumenata planirana je do kraja 2025.). U sljedećem proračunskom razdoblju (od 2026.) se planira modularna gradnja zatvorskih kapaciteta i na području Sisačko-moslavačke i Osječko-baranjske županije, a sredstva su planirana za izradu projektne dokumentacije. Sukladno dinamici izrade, sredstva za izgradnju će se planirati u proračunskom razdoblju 2026.-2028. Zatvorske kapacitete je nužno povećati, naročito zbog toga što je udio istražnih zatvorenika u ukupnom broju zatvorenika čak 45 %, od čega je 19 % ilegalnih migranata.  Na stavci 422 je planirano 3.623.000 € za 2025., 3.815.000 € za 2026 i 3.970.000 € za 2027.  za nabavu opreme za potrebe sigurnosti i zaštite u kaznenim tijelima (video nadzor) te opreme za pravosudnu policiju (interventni tim). Na stavci 451 je planirano 3.900.000 € za 2025., 4.500.000 € za 2026. i 7.200.000 € za 2027. U Kaznionici u Glini je 2025. planirana obnova dva objekta koja su oštećena u potresu (sportska dvorana i tzv. Tiskara za potrebe radne rehabilitacije zatvorenika) te ponovna gradnja objekta za smještaj 150 zatvorenika (stari objekt je potpuno uništen u potresu i srušen). U okviru ove aktivnosti planirano je 11.048.000 € za 2025. što je povećanje od 10.488.043 € u odnosu na Tekući plan 2024.</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saniranih, adaptiranih ili opremljenih zgrada zatvorskog sustava</w:t>
            </w:r>
          </w:p>
        </w:tc>
        <w:tc>
          <w:tcPr>
            <w:tcW w:w="2245.32" w:type="dxa"/>
            <w:vAlign w:val="center"/>
          </w:tcPr>
          <w:p>
            <w:pPr>
              <w:jc w:val="both"/>
              <w:pStyle w:val="CellColumn"/>
            </w:pPr>
            <w:r>
              <w:rPr>
                <w:rFonts w:hAnsi="Times New Roman" w:cs="Times New Roman"/>
              </w:rPr>
              <w:t xml:space="preserve">U cilju osiguranja potrebnog standarda poslovnog prostora i primjerenog smještaja zatvorenika, građevinski objekti zatvorskog sustava će se sanirati, rekonstruirati  i/ili opremiti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r>
      <w:tr>
        <w:trPr>
          <w:cantSplit/>
        </w:trPr>
        <w:tc>
          <w:tcPr>
            <w:tcW w:w="2245.32" w:type="dxa"/>
            <w:vAlign w:val="center"/>
          </w:tcPr>
          <w:p>
            <w:pPr>
              <w:jc w:val="both"/>
              <w:pStyle w:val="CellColumn"/>
            </w:pPr>
            <w:r>
              <w:rPr>
                <w:rFonts w:hAnsi="Times New Roman" w:cs="Times New Roman"/>
              </w:rPr>
              <w:t xml:space="preserve">Broj izvršenih ugovora vezanih za gradnju</w:t>
            </w:r>
          </w:p>
        </w:tc>
        <w:tc>
          <w:tcPr>
            <w:tcW w:w="2245.32" w:type="dxa"/>
            <w:vAlign w:val="center"/>
          </w:tcPr>
          <w:p>
            <w:pPr>
              <w:jc w:val="both"/>
              <w:pStyle w:val="CellColumn"/>
            </w:pPr>
            <w:r>
              <w:rPr>
                <w:rFonts w:hAnsi="Times New Roman" w:cs="Times New Roman"/>
              </w:rPr>
              <w:t xml:space="preserve">S ciljem osiguranja potrebnog standarda poslovnog prostora i primjerenog smještaja zatvorenika, građevine zatvorskog sustava se saniraju/rekonstruiraju odnosno opremaju. Završetak naručenih, ugovorenih usluga i radova vezanih uz navedeni cilj</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4</w:t>
            </w:r>
          </w:p>
        </w:tc>
      </w:tr>
    </w:tbl>
    <w:p>
      <w:pPr>
        <w:jc w:val="left"/>
      </w:pPr>
      <w:r>
        <w:rPr>
          <w:rFonts w:hAnsi="Times New Roman" w:cs="Times New Roman"/>
        </w:rPr>
        <w:t xml:space="preserve"/>
      </w:r>
    </w:p>
    <w:p>
      <w:pPr>
        <w:jc w:val="left"/>
        <w:pStyle w:val="Heading4"/>
      </w:pPr>
      <w:r>
        <w:rPr>
          <w:rFonts w:hAnsi="Times New Roman" w:cs="Times New Roman"/>
        </w:rPr>
        <w:t xml:space="preserve">K629181 OBNOVA VOZNOG PARKA ZATVORSKOG SUSTAVA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o unutarnjem ustrojstvu Ministarstva pravosuđa, uprave i digitalne transformacije, Zakon o izvršavanju kazne zatvora,  Pravilnik o poslovima osiguranja u zatvorskom sustavu, Pravilnik o kućnom redu u zatvorima za izvršavanje istražnog zatvora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K629181-OBNOVA VOZNOG PARKA ZATVORSKOG SUSTAVA</w:t>
            </w:r>
          </w:p>
        </w:tc>
        <w:tc>
          <w:tcPr>
            <w:tcW w:w="1632.96" w:type="dxa"/>
            <w:vAlign w:val="center"/>
          </w:tcPr>
          <w:p>
            <w:pPr>
              <w:jc w:val="both"/>
              <w:pStyle w:val="CellColumn"/>
            </w:pPr>
            <w:r>
              <w:rPr>
                <w:rFonts w:hAnsi="Times New Roman" w:cs="Times New Roman"/>
              </w:rPr>
              <w:t xml:space="preserve">162.317</w:t>
            </w:r>
          </w:p>
        </w:tc>
        <w:tc>
          <w:tcPr>
            <w:tcW w:w="1632.96" w:type="dxa"/>
            <w:vAlign w:val="center"/>
          </w:tcPr>
          <w:p>
            <w:pPr>
              <w:jc w:val="both"/>
              <w:pStyle w:val="CellColumn"/>
            </w:pPr>
            <w:r>
              <w:rPr>
                <w:rFonts w:hAnsi="Times New Roman" w:cs="Times New Roman"/>
              </w:rPr>
              <w:t xml:space="preserve">213.950</w:t>
            </w:r>
          </w:p>
        </w:tc>
        <w:tc>
          <w:tcPr>
            <w:tcW w:w="1632.96" w:type="dxa"/>
            <w:vAlign w:val="center"/>
          </w:tcPr>
          <w:p>
            <w:pPr>
              <w:jc w:val="both"/>
              <w:pStyle w:val="CellColumn"/>
            </w:pPr>
            <w:r>
              <w:rPr>
                <w:rFonts w:hAnsi="Times New Roman" w:cs="Times New Roman"/>
              </w:rPr>
              <w:t xml:space="preserve">660.000</w:t>
            </w:r>
          </w:p>
        </w:tc>
        <w:tc>
          <w:tcPr>
            <w:tcW w:w="1632.96" w:type="dxa"/>
            <w:vAlign w:val="center"/>
          </w:tcPr>
          <w:p>
            <w:pPr>
              <w:jc w:val="both"/>
              <w:pStyle w:val="CellColumn"/>
            </w:pPr>
            <w:r>
              <w:rPr>
                <w:rFonts w:hAnsi="Times New Roman" w:cs="Times New Roman"/>
              </w:rPr>
              <w:t xml:space="preserve">870.000</w:t>
            </w:r>
          </w:p>
        </w:tc>
        <w:tc>
          <w:tcPr>
            <w:tcW w:w="1632.96" w:type="dxa"/>
            <w:vAlign w:val="center"/>
          </w:tcPr>
          <w:p>
            <w:pPr>
              <w:jc w:val="both"/>
              <w:pStyle w:val="CellColumn"/>
            </w:pPr>
            <w:r>
              <w:rPr>
                <w:rFonts w:hAnsi="Times New Roman" w:cs="Times New Roman"/>
              </w:rPr>
              <w:t xml:space="preserve">830.000</w:t>
            </w:r>
          </w:p>
        </w:tc>
        <w:tc>
          <w:tcPr>
            <w:tcW w:w="510.3" w:type="dxa"/>
            <w:vAlign w:val="center"/>
          </w:tcPr>
          <w:p>
            <w:pPr>
              <w:jc w:val="both"/>
              <w:pStyle w:val="CellColumn"/>
            </w:pPr>
            <w:r>
              <w:rPr>
                <w:rFonts w:hAnsi="Times New Roman" w:cs="Times New Roman"/>
              </w:rPr>
              <w:t xml:space="preserve">308,5</w:t>
            </w:r>
          </w:p>
        </w:tc>
      </w:tr>
    </w:tbl>
    <w:p>
      <w:pPr>
        <w:jc w:val="left"/>
      </w:pPr>
      <w:r>
        <w:rPr>
          <w:rFonts w:hAnsi="Times New Roman" w:cs="Times New Roman"/>
        </w:rPr>
        <w:t xml:space="preserve"/>
      </w:r>
    </w:p>
    <w:p>
      <w:pPr>
        <w:jc w:val="both"/>
        <w:pStyle w:val="Normal"/>
      </w:pPr>
      <w:r>
        <w:rPr>
          <w:rFonts w:hAnsi="Times New Roman" w:cs="Times New Roman"/>
        </w:rPr>
        <w:t xml:space="preserve">Specijalna vozila za prijevoz osoba lišenih slobode neophodna su za optimalnu opremljenost i redovno funkcioniranje u kaznenim tijelima, s ciljem postizanja maksimalne sigurnosti. S obzirom na to da se u nadogradnju vozila ulažu znatna financijska sredstva, za sljedeće proračunsko razdoblje je planirana nabava specijalnih vozila (29 u 2025. i po 30 u 2026. i 2027.) putem financijskog leasinga (kombi vozila, karavan vozila, vozila za prijevoz visokorizičnih zatvorenika, neobilježena vozila, „pic-up“ vozila, autobus). Sredstva planirana za  podmirivanje troškova leasinga (kamate) iznose 160.000 € za 2025., 140.000 € za 2026. i 130.000 € za 2027., a za nabavu potrebnih vozila je planirano 500.000 € za 2025., 730.000 € za 2026. i 700.000 € za 2027.</w:t>
      </w:r>
    </w:p>
    <w:p>
      <w:pPr>
        <w:jc w:val="left"/>
        <w:pStyle w:val="Heading4"/>
      </w:pPr>
      <w:r>
        <w:rPr>
          <w:rFonts w:hAnsi="Times New Roman" w:cs="Times New Roman"/>
        </w:rPr>
        <w:t xml:space="preserve">K629239 HITNE INTERVENCIJE NA ZGRADAMA PRAVOSUDNIH TIJELA I ZATVORSKOG SUSTAVA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(čl. 71. i 72.), Zakon o odvjetništvu (čl. 66.), Zakon o izvršenju kazne zatvora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K629239-HITNE INTERVENCIJE NA ZGRADAMA PRAVOSUDNIH TIJELA I ZATVORSKOG SUSTAVA</w:t>
            </w:r>
          </w:p>
        </w:tc>
        <w:tc>
          <w:tcPr>
            <w:tcW w:w="1632.96" w:type="dxa"/>
            <w:vAlign w:val="center"/>
          </w:tcPr>
          <w:p>
            <w:pPr>
              <w:jc w:val="both"/>
              <w:pStyle w:val="CellColumn"/>
            </w:pPr>
            <w:r>
              <w:rPr>
                <w:rFonts w:hAnsi="Times New Roman" w:cs="Times New Roman"/>
              </w:rPr>
              <w:t xml:space="preserve">365.779</w:t>
            </w:r>
          </w:p>
        </w:tc>
        <w:tc>
          <w:tcPr>
            <w:tcW w:w="1632.96" w:type="dxa"/>
            <w:vAlign w:val="center"/>
          </w:tcPr>
          <w:p>
            <w:pPr>
              <w:jc w:val="both"/>
              <w:pStyle w:val="CellColumn"/>
            </w:pPr>
            <w:r>
              <w:rPr>
                <w:rFonts w:hAnsi="Times New Roman" w:cs="Times New Roman"/>
              </w:rPr>
              <w:t xml:space="preserve">363.750</w:t>
            </w:r>
          </w:p>
        </w:tc>
        <w:tc>
          <w:tcPr>
            <w:tcW w:w="1632.96" w:type="dxa"/>
            <w:vAlign w:val="center"/>
          </w:tcPr>
          <w:p>
            <w:pPr>
              <w:jc w:val="both"/>
              <w:pStyle w:val="CellColumn"/>
            </w:pPr>
            <w:r>
              <w:rPr>
                <w:rFonts w:hAnsi="Times New Roman" w:cs="Times New Roman"/>
              </w:rPr>
              <w:t xml:space="preserve">325.000</w:t>
            </w:r>
          </w:p>
        </w:tc>
        <w:tc>
          <w:tcPr>
            <w:tcW w:w="1632.96" w:type="dxa"/>
            <w:vAlign w:val="center"/>
          </w:tcPr>
          <w:p>
            <w:pPr>
              <w:jc w:val="both"/>
              <w:pStyle w:val="CellColumn"/>
            </w:pPr>
            <w:r>
              <w:rPr>
                <w:rFonts w:hAnsi="Times New Roman" w:cs="Times New Roman"/>
              </w:rPr>
              <w:t xml:space="preserve">165.000</w:t>
            </w:r>
          </w:p>
        </w:tc>
        <w:tc>
          <w:tcPr>
            <w:tcW w:w="1632.96" w:type="dxa"/>
            <w:vAlign w:val="center"/>
          </w:tcPr>
          <w:p>
            <w:pPr>
              <w:jc w:val="both"/>
              <w:pStyle w:val="CellColumn"/>
            </w:pPr>
            <w:r>
              <w:rPr>
                <w:rFonts w:hAnsi="Times New Roman" w:cs="Times New Roman"/>
              </w:rPr>
              <w:t xml:space="preserve">165.000</w:t>
            </w:r>
          </w:p>
        </w:tc>
        <w:tc>
          <w:tcPr>
            <w:tcW w:w="510.3" w:type="dxa"/>
            <w:vAlign w:val="center"/>
          </w:tcPr>
          <w:p>
            <w:pPr>
              <w:jc w:val="both"/>
              <w:pStyle w:val="CellColumn"/>
            </w:pPr>
            <w:r>
              <w:rPr>
                <w:rFonts w:hAnsi="Times New Roman" w:cs="Times New Roman"/>
              </w:rPr>
              <w:t xml:space="preserve">89,3</w:t>
            </w:r>
          </w:p>
        </w:tc>
      </w:tr>
    </w:tbl>
    <w:p>
      <w:pPr>
        <w:jc w:val="left"/>
      </w:pPr>
      <w:r>
        <w:rPr>
          <w:rFonts w:hAnsi="Times New Roman" w:cs="Times New Roman"/>
        </w:rPr>
        <w:t xml:space="preserve"/>
      </w:r>
    </w:p>
    <w:p>
      <w:pPr>
        <w:jc w:val="both"/>
        <w:pStyle w:val="Normal"/>
      </w:pPr>
      <w:r>
        <w:rPr>
          <w:rFonts w:hAnsi="Times New Roman" w:cs="Times New Roman"/>
        </w:rPr>
        <w:t xml:space="preserve">Sredstvima planiranim na ovoj aktivnosti kontinuirano se rješavaju nužne i hitne intervencije na zgradama pravosudnih tijela i zatvorskog sustava, prema zahtjevima i potrebama korisnika, kako bi se osiguralo očuvanje temeljnih zahtjeva za građevinu, funkcioniranje instalacijskih sustava i primjerenih uvjeta rada. Izračun troška je prosjek godišnjih potreba temeljem povijesnih podataka o potrebama i zahtjevima korisnika. Sukladno pokazateljima planirana sredstva za 2025. iznose 325.000 € što je manje u odnosu na Tekući plan 2024., a za 2026. i 2027. je planirano po 165.000 € godišnje.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Izvršenost naručenih,  ugovorenih obveza</w:t>
            </w:r>
          </w:p>
        </w:tc>
        <w:tc>
          <w:tcPr>
            <w:tcW w:w="2245.32" w:type="dxa"/>
            <w:vAlign w:val="center"/>
          </w:tcPr>
          <w:p>
            <w:pPr>
              <w:jc w:val="both"/>
              <w:pStyle w:val="CellColumn"/>
            </w:pPr>
            <w:r>
              <w:rPr>
                <w:rFonts w:hAnsi="Times New Roman" w:cs="Times New Roman"/>
              </w:rPr>
              <w:t xml:space="preserve">Završetak naručenih, ugovorenih usluga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95</w:t>
            </w:r>
          </w:p>
        </w:tc>
        <w:tc>
          <w:tcPr>
            <w:tcW w:w="918.54" w:type="dxa"/>
            <w:vAlign w:val="center"/>
          </w:tcPr>
          <w:p>
            <w:pPr>
              <w:jc w:val="both"/>
              <w:pStyle w:val="CellColumn"/>
            </w:pPr>
            <w:r>
              <w:rPr>
                <w:rFonts w:hAnsi="Times New Roman" w:cs="Times New Roman"/>
              </w:rPr>
              <w:t xml:space="preserve">95</w:t>
            </w:r>
          </w:p>
        </w:tc>
        <w:tc>
          <w:tcPr>
            <w:tcW w:w="918.54" w:type="dxa"/>
            <w:vAlign w:val="center"/>
          </w:tcPr>
          <w:p>
            <w:pPr>
              <w:jc w:val="both"/>
              <w:pStyle w:val="CellColumn"/>
            </w:pPr>
            <w:r>
              <w:rPr>
                <w:rFonts w:hAnsi="Times New Roman" w:cs="Times New Roman"/>
              </w:rPr>
              <w:t xml:space="preserve">95</w:t>
            </w:r>
          </w:p>
        </w:tc>
      </w:tr>
    </w:tbl>
    <w:p>
      <w:pPr>
        <w:jc w:val="left"/>
      </w:pPr>
      <w:r>
        <w:rPr>
          <w:rFonts w:hAnsi="Times New Roman" w:cs="Times New Roman"/>
        </w:rPr>
        <w:t xml:space="preserve"/>
      </w:r>
    </w:p>
    <w:p>
      <w:pPr>
        <w:jc w:val="left"/>
        <w:pStyle w:val="Heading4"/>
      </w:pPr>
      <w:r>
        <w:rPr>
          <w:rFonts w:hAnsi="Times New Roman" w:cs="Times New Roman"/>
        </w:rPr>
        <w:t xml:space="preserve">K630068 UREĐENJE I OPREMANJE UREDA ZA PROBACIJU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probaciji, Pravilnik o načinu obavljanja probacijskih poslova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K630068-UREĐENJE I OPREMANJE UREDA ZA PROBACIJU</w:t>
            </w:r>
          </w:p>
        </w:tc>
        <w:tc>
          <w:tcPr>
            <w:tcW w:w="1632.96" w:type="dxa"/>
            <w:vAlign w:val="center"/>
          </w:tcPr>
          <w:p>
            <w:pPr>
              <w:jc w:val="both"/>
              <w:pStyle w:val="CellColumn"/>
            </w:pPr>
            <w:r>
              <w:rPr>
                <w:rFonts w:hAnsi="Times New Roman" w:cs="Times New Roman"/>
              </w:rPr>
              <w:t xml:space="preserve">166</w:t>
            </w:r>
          </w:p>
        </w:tc>
        <w:tc>
          <w:tcPr>
            <w:tcW w:w="1632.96" w:type="dxa"/>
            <w:vAlign w:val="center"/>
          </w:tcPr>
          <w:p>
            <w:pPr>
              <w:jc w:val="both"/>
              <w:pStyle w:val="CellColumn"/>
            </w:pPr>
            <w:r>
              <w:rPr>
                <w:rFonts w:hAnsi="Times New Roman" w:cs="Times New Roman"/>
              </w:rPr>
              <w:t xml:space="preserve">3.700</w:t>
            </w:r>
          </w:p>
        </w:tc>
        <w:tc>
          <w:tcPr>
            <w:tcW w:w="1632.96" w:type="dxa"/>
            <w:vAlign w:val="center"/>
          </w:tcPr>
          <w:p>
            <w:pPr>
              <w:jc w:val="both"/>
              <w:pStyle w:val="CellColumn"/>
            </w:pPr>
            <w:r>
              <w:rPr>
                <w:rFonts w:hAnsi="Times New Roman" w:cs="Times New Roman"/>
              </w:rPr>
              <w:t xml:space="preserve">6.500</w:t>
            </w:r>
          </w:p>
        </w:tc>
        <w:tc>
          <w:tcPr>
            <w:tcW w:w="1632.96" w:type="dxa"/>
            <w:vAlign w:val="center"/>
          </w:tcPr>
          <w:p>
            <w:pPr>
              <w:jc w:val="both"/>
              <w:pStyle w:val="CellColumn"/>
            </w:pPr>
            <w:r>
              <w:rPr>
                <w:rFonts w:hAnsi="Times New Roman" w:cs="Times New Roman"/>
              </w:rPr>
              <w:t xml:space="preserve">7.000</w:t>
            </w:r>
          </w:p>
        </w:tc>
        <w:tc>
          <w:tcPr>
            <w:tcW w:w="1632.96" w:type="dxa"/>
            <w:vAlign w:val="center"/>
          </w:tcPr>
          <w:p>
            <w:pPr>
              <w:jc w:val="both"/>
              <w:pStyle w:val="CellColumn"/>
            </w:pPr>
            <w:r>
              <w:rPr>
                <w:rFonts w:hAnsi="Times New Roman" w:cs="Times New Roman"/>
              </w:rPr>
              <w:t xml:space="preserve">7.500</w:t>
            </w:r>
          </w:p>
        </w:tc>
        <w:tc>
          <w:tcPr>
            <w:tcW w:w="510.3" w:type="dxa"/>
            <w:vAlign w:val="center"/>
          </w:tcPr>
          <w:p>
            <w:pPr>
              <w:jc w:val="both"/>
              <w:pStyle w:val="CellColumn"/>
            </w:pPr>
            <w:r>
              <w:rPr>
                <w:rFonts w:hAnsi="Times New Roman" w:cs="Times New Roman"/>
              </w:rPr>
              <w:t xml:space="preserve">175,7</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u okviru ove aktivnosti odnose se na podmirivanje troškova za uređenje i opremanje prostora za obavljanje probacijskih poslova. Sredstva su planirana procjenom temeljem izvršenja u proteklom razdoblju.</w:t>
      </w:r>
    </w:p>
    <w:p>
      <w:pPr>
        <w:jc w:val="left"/>
        <w:pStyle w:val="Heading4"/>
      </w:pPr>
      <w:r>
        <w:rPr>
          <w:rFonts w:hAnsi="Times New Roman" w:cs="Times New Roman"/>
        </w:rPr>
        <w:t xml:space="preserve">K630103 UREĐENJE I OPREMANJE MINISTARSTVA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o unutarnjem ustrojstvu Ministarstva pravosuđa, uprave i digitalne transformacije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K630103-UREĐENJE I OPREMANJE MINISTARSTVA</w:t>
            </w:r>
          </w:p>
        </w:tc>
        <w:tc>
          <w:tcPr>
            <w:tcW w:w="1632.96" w:type="dxa"/>
            <w:vAlign w:val="center"/>
          </w:tcPr>
          <w:p>
            <w:pPr>
              <w:jc w:val="both"/>
              <w:pStyle w:val="CellColumn"/>
            </w:pPr>
            <w:r>
              <w:rPr>
                <w:rFonts w:hAnsi="Times New Roman" w:cs="Times New Roman"/>
              </w:rPr>
              <w:t xml:space="preserve">23.509</w:t>
            </w:r>
          </w:p>
        </w:tc>
        <w:tc>
          <w:tcPr>
            <w:tcW w:w="1632.96" w:type="dxa"/>
            <w:vAlign w:val="center"/>
          </w:tcPr>
          <w:p>
            <w:pPr>
              <w:jc w:val="both"/>
              <w:pStyle w:val="CellColumn"/>
            </w:pPr>
            <w:r>
              <w:rPr>
                <w:rFonts w:hAnsi="Times New Roman" w:cs="Times New Roman"/>
              </w:rPr>
              <w:t xml:space="preserve">182.977</w:t>
            </w:r>
          </w:p>
        </w:tc>
        <w:tc>
          <w:tcPr>
            <w:tcW w:w="1632.96" w:type="dxa"/>
            <w:vAlign w:val="center"/>
          </w:tcPr>
          <w:p>
            <w:pPr>
              <w:jc w:val="both"/>
              <w:pStyle w:val="CellColumn"/>
            </w:pPr>
            <w:r>
              <w:rPr>
                <w:rFonts w:hAnsi="Times New Roman" w:cs="Times New Roman"/>
              </w:rPr>
              <w:t xml:space="preserve">328.300</w:t>
            </w:r>
          </w:p>
        </w:tc>
        <w:tc>
          <w:tcPr>
            <w:tcW w:w="1632.96" w:type="dxa"/>
            <w:vAlign w:val="center"/>
          </w:tcPr>
          <w:p>
            <w:pPr>
              <w:jc w:val="both"/>
              <w:pStyle w:val="CellColumn"/>
            </w:pPr>
            <w:r>
              <w:rPr>
                <w:rFonts w:hAnsi="Times New Roman" w:cs="Times New Roman"/>
              </w:rPr>
              <w:t xml:space="preserve">152.000</w:t>
            </w:r>
          </w:p>
        </w:tc>
        <w:tc>
          <w:tcPr>
            <w:tcW w:w="1632.96" w:type="dxa"/>
            <w:vAlign w:val="center"/>
          </w:tcPr>
          <w:p>
            <w:pPr>
              <w:jc w:val="both"/>
              <w:pStyle w:val="CellColumn"/>
            </w:pPr>
            <w:r>
              <w:rPr>
                <w:rFonts w:hAnsi="Times New Roman" w:cs="Times New Roman"/>
              </w:rPr>
              <w:t xml:space="preserve">152.000</w:t>
            </w:r>
          </w:p>
        </w:tc>
        <w:tc>
          <w:tcPr>
            <w:tcW w:w="510.3" w:type="dxa"/>
            <w:vAlign w:val="center"/>
          </w:tcPr>
          <w:p>
            <w:pPr>
              <w:jc w:val="both"/>
              <w:pStyle w:val="CellColumn"/>
            </w:pPr>
            <w:r>
              <w:rPr>
                <w:rFonts w:hAnsi="Times New Roman" w:cs="Times New Roman"/>
              </w:rPr>
              <w:t xml:space="preserve">179,4</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u okviru ove aktivnosti se odnose na usluge tekućeg i investicijskog održavanja te uređenja i opremanja Ministarstva, prema iskazanim zahtjevima za uredskim namještajem i opremom, komunikacijskom i ostalom opremom. Planirana sredstva za 2025. iznose 328.300 € i veća su u odnosu na Tekući plan 2024. i projekcije 2026. i 2027. Planirana sredstva su povećana će se tijekom 2025. raditi na uređenju zgrade Ministarstva u Vukovarskoj 49 (soboslikarski i ličilački radovi) za što je planirano 150.000 € (konto 3232) te za uređenju parkinga u Maksimirskoj 63 (konto 4511 – 45.000 €). Ostala planirana sredstva se odnose na redovnu nabavu komunikacijske opreme i uredske opreme i namještaja za potrebe Ministarstva (Glava 10905).</w:t>
      </w:r>
    </w:p>
    <w:p>
      <w:pPr>
        <w:jc w:val="left"/>
        <w:pStyle w:val="Heading4"/>
      </w:pPr>
      <w:r>
        <w:rPr>
          <w:rFonts w:hAnsi="Times New Roman" w:cs="Times New Roman"/>
        </w:rPr>
        <w:t xml:space="preserve">T757028 IZRADA PROJEKTNE DOKUMENTACIJE I PROVEDBA MJERA ZAŠTITE ZGRADA MINISTARSTVA PRAVOSUĐA, UPRAVE I DIGITALNE TRANSFORMACIJE OŠTEĆENIH U POTRESU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(čl. 71 i 72.), Zakon o odvjetništvu (čl. 66.), Zakon o obnovi zgrada oštećenih potresom na području Grada Zagreba, Krapinsko-zagorske županije, Zagrebačke županije, Sisačko-moslavačke županije i Karlovačke županije (čl. 70.)</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T757028-IZRADA PROJEKTNE DOKUMENTACIJE I PROVEDBA MJERA ZAŠTITE ZGRADA MINISTARSTVA PRAVOSUĐA, UPRAVE I DIGITALNE TRANSFORMACIJE OŠTEĆENIH U POTRESU</w:t>
            </w:r>
          </w:p>
        </w:tc>
        <w:tc>
          <w:tcPr>
            <w:tcW w:w="1632.96" w:type="dxa"/>
            <w:vAlign w:val="center"/>
          </w:tcPr>
          <w:p>
            <w:pPr>
              <w:jc w:val="both"/>
              <w:pStyle w:val="CellColumn"/>
            </w:pPr>
            <w:r>
              <w:rPr>
                <w:rFonts w:hAnsi="Times New Roman" w:cs="Times New Roman"/>
              </w:rPr>
              <w:t xml:space="preserve">16.229.759</w:t>
            </w:r>
          </w:p>
        </w:tc>
        <w:tc>
          <w:tcPr>
            <w:tcW w:w="1632.96" w:type="dxa"/>
            <w:vAlign w:val="center"/>
          </w:tcPr>
          <w:p>
            <w:pPr>
              <w:jc w:val="both"/>
              <w:pStyle w:val="CellColumn"/>
            </w:pPr>
            <w:r>
              <w:rPr>
                <w:rFonts w:hAnsi="Times New Roman" w:cs="Times New Roman"/>
              </w:rPr>
              <w:t xml:space="preserve">3.929.000</w:t>
            </w:r>
          </w:p>
        </w:tc>
        <w:tc>
          <w:tcPr>
            <w:tcW w:w="1632.96" w:type="dxa"/>
            <w:vAlign w:val="center"/>
          </w:tcPr>
          <w:p>
            <w:pPr>
              <w:jc w:val="both"/>
              <w:pStyle w:val="CellColumn"/>
            </w:pPr>
            <w:r>
              <w:rPr>
                <w:rFonts w:hAnsi="Times New Roman" w:cs="Times New Roman"/>
              </w:rPr>
              <w:t xml:space="preserve">11.000.000</w:t>
            </w:r>
          </w:p>
        </w:tc>
        <w:tc>
          <w:tcPr>
            <w:tcW w:w="1632.96" w:type="dxa"/>
            <w:vAlign w:val="center"/>
          </w:tcPr>
          <w:p>
            <w:pPr>
              <w:jc w:val="both"/>
              <w:pStyle w:val="CellColumn"/>
            </w:pPr>
            <w:r>
              <w:rPr>
                <w:rFonts w:hAnsi="Times New Roman" w:cs="Times New Roman"/>
              </w:rPr>
              <w:t xml:space="preserve">4.000.000</w:t>
            </w:r>
          </w:p>
        </w:tc>
        <w:tc>
          <w:tcPr>
            <w:tcW w:w="1632.96" w:type="dxa"/>
            <w:vAlign w:val="center"/>
          </w:tcPr>
          <w:p>
            <w:pPr>
              <w:jc w:val="both"/>
              <w:pStyle w:val="CellColumn"/>
            </w:pPr>
            <w:r>
              <w:rPr>
                <w:rFonts w:hAnsi="Times New Roman" w:cs="Times New Roman"/>
              </w:rPr>
              <w:t xml:space="preserve">5.600.000</w:t>
            </w:r>
          </w:p>
        </w:tc>
        <w:tc>
          <w:tcPr>
            <w:tcW w:w="510.3" w:type="dxa"/>
            <w:vAlign w:val="center"/>
          </w:tcPr>
          <w:p>
            <w:pPr>
              <w:jc w:val="both"/>
              <w:pStyle w:val="CellColumn"/>
            </w:pPr>
            <w:r>
              <w:rPr>
                <w:rFonts w:hAnsi="Times New Roman" w:cs="Times New Roman"/>
              </w:rPr>
              <w:t xml:space="preserve">280,0</w:t>
            </w:r>
          </w:p>
        </w:tc>
      </w:tr>
    </w:tbl>
    <w:p>
      <w:pPr>
        <w:jc w:val="left"/>
      </w:pPr>
      <w:r>
        <w:rPr>
          <w:rFonts w:hAnsi="Times New Roman" w:cs="Times New Roman"/>
        </w:rPr>
        <w:t xml:space="preserve"/>
      </w:r>
    </w:p>
    <w:p>
      <w:pPr>
        <w:jc w:val="both"/>
        <w:pStyle w:val="Normal"/>
      </w:pPr>
      <w:r>
        <w:rPr>
          <w:rFonts w:hAnsi="Times New Roman" w:cs="Times New Roman"/>
        </w:rPr>
        <w:t xml:space="preserve">Ulaganja u pravosudnu infrastrukturu se provode i kroz ovaj projekt, u okviru kojega su na IF 11 Opći prihodi i primici planirana sredstva namijenjena za pokriće neprihvatljivih troškova koji se odnose na konstrukcijsku obnovu zgrada na području Grada Zagreba, Krapinsko-zagorske županije, Zagrebačke županije, Sisačko-moslavačke županije i Karlovačke županije oštećenih potresom. Planiranim sredstva se odnose na zgrade kojima se koriste sljedeća pravosudna tijela: Visoki Trgovački sud u Zagrebu, Berislavićeva 11; DORH, Gajeva 30; Županijski, Visoki kazneni i Trgovački sud u Zagrebu, Trg Nikole Zrinskog 5 - Amruševa 2 - Petrinjska 8 - Petrinjska 12; Županijski sud u Zagrebu, Državno odvjetništvo, Ured za suzbijanje korupcije i organiziranog kriminaliteta i Odjel delegiranih europskih tužitelja u Zagrebu (označeno kao zgrada B), Ilica 207. Sredstva potrebna za podmirenje troškova cjelovite obnove navedenih zgrada pravosudnih tijela (IF 815) su planirana na odgovarajućim proračunskim pozicijama Ministarstva kulture i medija Republike Hrvatske (NPOO).</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izvršenih ugovora vezanih za obnovu</w:t>
            </w:r>
          </w:p>
        </w:tc>
        <w:tc>
          <w:tcPr>
            <w:tcW w:w="2245.32" w:type="dxa"/>
            <w:vAlign w:val="center"/>
          </w:tcPr>
          <w:p>
            <w:pPr>
              <w:jc w:val="both"/>
              <w:pStyle w:val="CellColumn"/>
            </w:pPr>
            <w:r>
              <w:rPr>
                <w:rFonts w:hAnsi="Times New Roman" w:cs="Times New Roman"/>
              </w:rPr>
              <w:t xml:space="preserve">U cilju osiguranja otpornosti na potres te unapređenja temeljnih zahtjeva na zgradu, zgrade koje koriste pravosudna tijela će se obnoviti/rekonstruirati. Završetak naručenih, ugovorenih usluga  i radova vezanih uz navedeni cilj</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2</w:t>
            </w:r>
          </w:p>
        </w:tc>
      </w:tr>
    </w:tbl>
    <w:p>
      <w:pPr>
        <w:jc w:val="left"/>
      </w:pPr>
      <w:r>
        <w:rPr>
          <w:rFonts w:hAnsi="Times New Roman" w:cs="Times New Roman"/>
        </w:rPr>
        <w:t xml:space="preserve"/>
      </w:r>
    </w:p>
    <w:p>
      <w:pPr>
        <w:jc w:val="left"/>
        <w:pStyle w:val="Heading3"/>
      </w:pPr>
      <w:r>
        <w:rPr>
          <w:rFonts w:hAnsi="Times New Roman" w:cs="Times New Roman"/>
        </w:rPr>
        <w:t xml:space="preserve">2807 INFORMATIZACIJA , MODERNIZACIJA I ODRŽAVANJE INFORMACIJSKOG SUSTAVA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2807-INFORMATIZACIJA , MODERNIZACIJA I ODRŽAVANJE INFORMACIJSKOG SUSTAVA</w:t>
            </w:r>
          </w:p>
        </w:tc>
        <w:tc>
          <w:tcPr>
            <w:tcW w:w="1632.96" w:type="dxa"/>
            <w:vAlign w:val="center"/>
          </w:tcPr>
          <w:p>
            <w:pPr>
              <w:jc w:val="both"/>
              <w:pStyle w:val="CellColumn"/>
            </w:pPr>
            <w:r>
              <w:rPr>
                <w:rFonts w:hAnsi="Times New Roman" w:cs="Times New Roman"/>
              </w:rPr>
              <w:t xml:space="preserve">8.793.367</w:t>
            </w:r>
          </w:p>
        </w:tc>
        <w:tc>
          <w:tcPr>
            <w:tcW w:w="1632.96" w:type="dxa"/>
            <w:vAlign w:val="center"/>
          </w:tcPr>
          <w:p>
            <w:pPr>
              <w:jc w:val="both"/>
              <w:pStyle w:val="CellColumn"/>
            </w:pPr>
            <w:r>
              <w:rPr>
                <w:rFonts w:hAnsi="Times New Roman" w:cs="Times New Roman"/>
              </w:rPr>
              <w:t xml:space="preserve">13.851.503</w:t>
            </w:r>
          </w:p>
        </w:tc>
        <w:tc>
          <w:tcPr>
            <w:tcW w:w="1632.96" w:type="dxa"/>
            <w:vAlign w:val="center"/>
          </w:tcPr>
          <w:p>
            <w:pPr>
              <w:jc w:val="both"/>
              <w:pStyle w:val="CellColumn"/>
            </w:pPr>
            <w:r>
              <w:rPr>
                <w:rFonts w:hAnsi="Times New Roman" w:cs="Times New Roman"/>
              </w:rPr>
              <w:t xml:space="preserve">18.881.818</w:t>
            </w:r>
          </w:p>
        </w:tc>
        <w:tc>
          <w:tcPr>
            <w:tcW w:w="1632.96" w:type="dxa"/>
            <w:vAlign w:val="center"/>
          </w:tcPr>
          <w:p>
            <w:pPr>
              <w:jc w:val="both"/>
              <w:pStyle w:val="CellColumn"/>
            </w:pPr>
            <w:r>
              <w:rPr>
                <w:rFonts w:hAnsi="Times New Roman" w:cs="Times New Roman"/>
              </w:rPr>
              <w:t xml:space="preserve">20.433.959</w:t>
            </w:r>
          </w:p>
        </w:tc>
        <w:tc>
          <w:tcPr>
            <w:tcW w:w="1632.96" w:type="dxa"/>
            <w:vAlign w:val="center"/>
          </w:tcPr>
          <w:p>
            <w:pPr>
              <w:jc w:val="both"/>
              <w:pStyle w:val="CellColumn"/>
            </w:pPr>
            <w:r>
              <w:rPr>
                <w:rFonts w:hAnsi="Times New Roman" w:cs="Times New Roman"/>
              </w:rPr>
              <w:t xml:space="preserve">22.392.108</w:t>
            </w:r>
          </w:p>
        </w:tc>
        <w:tc>
          <w:tcPr>
            <w:tcW w:w="510.3" w:type="dxa"/>
            <w:vAlign w:val="center"/>
          </w:tcPr>
          <w:p>
            <w:pPr>
              <w:jc w:val="both"/>
              <w:pStyle w:val="CellColumn"/>
            </w:pPr>
            <w:r>
              <w:rPr>
                <w:rFonts w:hAnsi="Times New Roman" w:cs="Times New Roman"/>
              </w:rPr>
              <w:t xml:space="preserve">136,3</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učinkovitosti pravosuđa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Smanjeno opterećenje pravosudnog sustava uvođenjem digitaliziranih postupaka/automatiziranih poslovnih procesa</w:t>
            </w:r>
          </w:p>
        </w:tc>
        <w:tc>
          <w:tcPr>
            <w:tcW w:w="2245.32" w:type="dxa"/>
            <w:vAlign w:val="center"/>
          </w:tcPr>
          <w:p>
            <w:pPr>
              <w:jc w:val="both"/>
              <w:pStyle w:val="CellColumn"/>
            </w:pPr>
            <w:r>
              <w:rPr>
                <w:rFonts w:hAnsi="Times New Roman" w:cs="Times New Roman"/>
              </w:rPr>
              <w:t xml:space="preserve">Povećanje kvalitete pravosuđa kroz nastavak modernizacije pravosudnog sustava povećanjem broja e-usluga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6</w:t>
            </w:r>
          </w:p>
        </w:tc>
      </w:tr>
    </w:tbl>
    <w:p>
      <w:pPr>
        <w:jc w:val="left"/>
      </w:pPr>
      <w:r>
        <w:rPr>
          <w:rFonts w:hAnsi="Times New Roman" w:cs="Times New Roman"/>
        </w:rPr>
        <w:t xml:space="preserve"/>
      </w:r>
    </w:p>
    <w:p>
      <w:pPr>
        <w:jc w:val="left"/>
        <w:pStyle w:val="Heading4"/>
      </w:pPr>
      <w:r>
        <w:rPr>
          <w:rFonts w:hAnsi="Times New Roman" w:cs="Times New Roman"/>
        </w:rPr>
        <w:t xml:space="preserve">K629169 INFORMACIJSKO KOMUNIKACIJSKO TEHNOLOŠKA INFRASTRUKTURA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ustrojstvu i djelokrugu tijela državne uprave, Zakon o sustavu državne uprave,  Zakon o državnoj informacijskoj infrastrukturi, Zakon o kibernetičkoj sigurnosti, Uredba o organizacijskim i tehničkim standardima za povezivanje na državnu informacijsku infrastrukturu, Odluka o uspostavi i pružanju usluga zajedničkih servisa sustava računalno-komunikacijske mreže tijela državne uprave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K629169-INFORMACIJSKO KOMUNIKACIJSKO TEHNOLOŠKA INFRASTRUKTURA</w:t>
            </w:r>
          </w:p>
        </w:tc>
        <w:tc>
          <w:tcPr>
            <w:tcW w:w="1632.96" w:type="dxa"/>
            <w:vAlign w:val="center"/>
          </w:tcPr>
          <w:p>
            <w:pPr>
              <w:jc w:val="both"/>
              <w:pStyle w:val="CellColumn"/>
            </w:pPr>
            <w:r>
              <w:rPr>
                <w:rFonts w:hAnsi="Times New Roman" w:cs="Times New Roman"/>
              </w:rPr>
              <w:t xml:space="preserve">8.730.830</w:t>
            </w:r>
          </w:p>
        </w:tc>
        <w:tc>
          <w:tcPr>
            <w:tcW w:w="1632.96" w:type="dxa"/>
            <w:vAlign w:val="center"/>
          </w:tcPr>
          <w:p>
            <w:pPr>
              <w:jc w:val="both"/>
              <w:pStyle w:val="CellColumn"/>
            </w:pPr>
            <w:r>
              <w:rPr>
                <w:rFonts w:hAnsi="Times New Roman" w:cs="Times New Roman"/>
              </w:rPr>
              <w:t xml:space="preserve">13.798.568</w:t>
            </w:r>
          </w:p>
        </w:tc>
        <w:tc>
          <w:tcPr>
            <w:tcW w:w="1632.96" w:type="dxa"/>
            <w:vAlign w:val="center"/>
          </w:tcPr>
          <w:p>
            <w:pPr>
              <w:jc w:val="both"/>
              <w:pStyle w:val="CellColumn"/>
            </w:pPr>
            <w:r>
              <w:rPr>
                <w:rFonts w:hAnsi="Times New Roman" w:cs="Times New Roman"/>
              </w:rPr>
              <w:t xml:space="preserve">18.815.818</w:t>
            </w:r>
          </w:p>
        </w:tc>
        <w:tc>
          <w:tcPr>
            <w:tcW w:w="1632.96" w:type="dxa"/>
            <w:vAlign w:val="center"/>
          </w:tcPr>
          <w:p>
            <w:pPr>
              <w:jc w:val="both"/>
              <w:pStyle w:val="CellColumn"/>
            </w:pPr>
            <w:r>
              <w:rPr>
                <w:rFonts w:hAnsi="Times New Roman" w:cs="Times New Roman"/>
              </w:rPr>
              <w:t xml:space="preserve">20.367.959</w:t>
            </w:r>
          </w:p>
        </w:tc>
        <w:tc>
          <w:tcPr>
            <w:tcW w:w="1632.96" w:type="dxa"/>
            <w:vAlign w:val="center"/>
          </w:tcPr>
          <w:p>
            <w:pPr>
              <w:jc w:val="both"/>
              <w:pStyle w:val="CellColumn"/>
            </w:pPr>
            <w:r>
              <w:rPr>
                <w:rFonts w:hAnsi="Times New Roman" w:cs="Times New Roman"/>
              </w:rPr>
              <w:t xml:space="preserve">22.326.108</w:t>
            </w:r>
          </w:p>
        </w:tc>
        <w:tc>
          <w:tcPr>
            <w:tcW w:w="510.3" w:type="dxa"/>
            <w:vAlign w:val="center"/>
          </w:tcPr>
          <w:p>
            <w:pPr>
              <w:jc w:val="both"/>
              <w:pStyle w:val="CellColumn"/>
            </w:pPr>
            <w:r>
              <w:rPr>
                <w:rFonts w:hAnsi="Times New Roman" w:cs="Times New Roman"/>
              </w:rPr>
              <w:t xml:space="preserve">136,4</w:t>
            </w:r>
          </w:p>
        </w:tc>
      </w:tr>
    </w:tbl>
    <w:p>
      <w:pPr>
        <w:jc w:val="left"/>
      </w:pPr>
      <w:r>
        <w:rPr>
          <w:rFonts w:hAnsi="Times New Roman" w:cs="Times New Roman"/>
        </w:rPr>
        <w:t xml:space="preserve"/>
      </w:r>
    </w:p>
    <w:p>
      <w:pPr>
        <w:jc w:val="both"/>
        <w:pStyle w:val="Normal"/>
      </w:pPr>
      <w:r>
        <w:rPr>
          <w:rFonts w:hAnsi="Times New Roman" w:cs="Times New Roman"/>
        </w:rPr>
        <w:t xml:space="preserve">Da bi se osigurala kvalitetna informatička infrastruktura, sigurna od rizika i potencijalnih ugroza, što je neophodno za neometano i kontinuirano poslovanje Ministarstva i svih korisnika iz nadležnosti, nužno je osigurati sredstva za ulaganja u informatičku infrastrukturu. U okviru ove proračunske aktivnosti planirana su sredstva za 2025. iznose 18.815.818 €, što je za 5.017.250 € više od Tekućeg plana za 2024. Povećanje planiranih sredstva za 2025. se odnose na nabavu: 
</w:t>
      </w:r>
    </w:p>
    <w:p>
      <w:pPr>
        <w:jc w:val="both"/>
        <w:pStyle w:val="Normal"/>
      </w:pPr>
      <w:r>
        <w:rPr>
          <w:rFonts w:hAnsi="Times New Roman" w:cs="Times New Roman"/>
        </w:rPr>
        <w:t xml:space="preserve">dodatnih Microsoft licenci za Office za 7300 korisnika, koji trenutno imaju Office 2016 koji 2025. izlazi iz podrške - korištenje nepodržanih licenci (bez zakrpi i sigurnosnih ažuriranja) predstavlja veliki sigurnosni rizik za domenu pravosuđa, odnosno ranjivost sustava od kibernetičkih napada, novih računala AiO (konto 4221), na što se odnosi najveći dio planiranih sredstava za 2025. U listopadu 2025. godine Windows10 operativni sustav izlazi iz Microsoft podrške i potrebno je operativni sustav migrirati na Windows11, za što su potrebna računala s određenim tehničkim karakteristikama. Analizom je utvrđeno da Ministarstvo ima 6700 računala koja ne udovoljavaju tehničkim preduvjetima za Windows11 (zbog neadekvatnog procesora, TPM i secure boot značajki). Dio računala je već zamijenjen ili je zamjena u tijeku (za oko 3700 korisnika) i za njih će se moći napraviti migracija na Windows11, no ne i za većinu ostalih računala, koja u prethodnom razdoblju nisu zamijenjena. Ukoliko se operativni sustav ne ažurira na Windows11 više se neće moći dobiti podrška Microsofta sa sigurnosnim ažuriranjima i cijeli sustav postaje ranjiv i otvoren potencijalnim kibernetičkim ugrozama. To je rizik kojim se može upravljati samo ako se osiguraju potrebna financijska sredstva. Ukoliko ipak ne bude moguće osigurati potrebna sredstva za nabavu novih računala, provest će se nabava tzv. produljene podrške od Microsofta za Windows10 operativni sustav, kako bi se prevenirala ranjivost sustava. No, cijene za nabavu licenci još nisu poznate, jer je nabava za novi okvirni sporazum SDUSJN planirana za lipnju 2025., osim što iz podrške izlazi Office 2016 i Windows10, u listopadu 2025. iz podrške izlazi i Microsoft Exchange 2016 koji se koristi za sustav e-pošte te je potrebno i taj sustav ažurirati i angažirati pomoć Microsoft stručnjaka kroz Unified podršku, jer je dio pretinaca e-pošte u oblaku. Također, sklapanjem novog okvirnog sporazuma će se konsolidirati resursi bivšeg SDURDD-a i Ministarstva,WAN usluge (mreže širokog područja), zbog povećanja vrijednosti novog ugovora sklopljenog s tvrtkom Terakom (konto 3231),poslužitelja koji će imati funkciju Domain Controlera po lokacijama i kojima će se zamijeniti dotrajali poslužitelji iposlužitelji u kvaru,komunikacijskih ormara za potrebe pravosudnih i kaznenih tijela – fizička zaštita,jednogodišnjih licenci - planirana su sredstva na kontu 3235 (po nalogu Državne revizije: do sada je nabava svih licenci knjižena na 4123), dok je istovremeno smanjen plan na kontu 3238, audio video opreme za snimanje iskaza svjedoka/žrtve u kaznenom postupku, jer je postojeća oprema isporučena kao donacija UNICEFA 2014. godine dotrajala i svega 10 sudova je opremljeno na taj način te je sada potrebno osigurati uvjete za provođenje kaznenog postupka za sve sudove.U okviru ove aktivnosti su planirana sredstva i za usluge održavanja za koje se planirana sredstva, u bitnome, ne razlikuju od 2024.:održavanje informatičke infrastrukture pravosuđa – centralni računalni sustav,održavanje informatičke infrastrukture pravosuđa – komunikacijska infrastruktura, održavanje informatičke infrastrukture pravosuđa – radne stanice i periferna oprema,održavanje informatičke infrastrukture pravosuđa – sistemska i tehnička podrška ,održavanje i usluga administracije Oracle infrastrukture,održavanje evidencije radnog vremena,održavanje kontrole pristupa,održavanje opreme podatkovnog centra klime, UPS, agregati,korištenje Microsoft savjetodavnih usluga – Microsoft Unified podrška,korištenje antivirusne i antispam zaštite,održavanje audio-video sustava,održavanje uređaja za pristup Internetu (Fortigate) ,održavanje uređaja za detekciju malicioznih programa (Fire Eye),održavanje platforme za udaljeni rad od kuće ARA,osiguravanje podrške proizvođača za sve licencirane proizvode (Microsoft, Oracle, EMC,...),najam svjetlovodnih veza – dark fiber (Ilica – Vukovarska – data centar).Osim navedenog, tijekom 2025. je planirana realizacija projekta C2.5.R1.I6 „Stabilna i otporna IT infrastruktura informacijskog sustava pravosuđa“ u okviru Nacionalnog plana oporavka i otpornosti 2021.-2026., kako bi se modernizirala informatička infrastruktura. Vrijednost projekta je oko 16.000.000 €. Za 2026. i 2027. planirana sredstva za taj projekt (konto 3238 i 3235) iznose po 4.250.000 €, za troškove održavanja isporučene opreme komunikacijske infrastrukture i sistemske sigurnosti, radi održivosti cijele NPOO investicije, ali su planirana sredstva za podmirenje troškova održavanja i podrške antivirusne, antispam i druge opreme smanjena. U 2026. neće biti potrebno dobavljaču Terakom plaćati priključnu pristojbu, nego samo uslugu WAN mreže, zbog čega su smanjena planirana sredstva na kontu 3231. S obzirom na to da se u 2025. planira zamjena većine računala zbog migracije na Windows11, u 2026. je potrebno nastaviti redovni proces zamjene računala, a sredstva su planirana za 3000 komada AiO računala, što je manje u odnosu na 2025 (konto 4221). Kod izračuna potrebnih sredstva primijenjene su cijene iz Okvirnog sporazuma br. 5/2024-2 za nabavu računala i računalne opreme, Grupa 2 – Sve u jedan računalo ALL24 i Okvirnog sporazuma br. 5/2024-6, za nabavu računala i računalne opreme, Grupa 6 – Prijenosno računalo NB17 za 2024. Za 2026. je planirano povećanje sredstava za oko 10 % u odnosu na 2025. zbog povećanja cijena roba i usluga, a procjena je napravljena prema cijenama iz 2024. Za 2027. je planirana nabava manjeg broja uredskih AiO računala u odnosu na 2025. i 2026., zbog ranije provedenih zamjena, tako da su i planirana sredstva (konto 4221) manja nego za 2025. i 2026., no povećana su planirana sredstva za održavanje opreme i sustava (konto 3238) zbog investicija koje se planiraju provesti 2025. i 2026. Za 2027. je planirano povećanje sredstava za oko 5 % u odnosu na 2026., zbog povećanja cijena roba i usluga.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Nabava novih stolnih i prijenosnih računala</w:t>
            </w:r>
          </w:p>
        </w:tc>
        <w:tc>
          <w:tcPr>
            <w:tcW w:w="2245.32" w:type="dxa"/>
            <w:vAlign w:val="center"/>
          </w:tcPr>
          <w:p>
            <w:pPr>
              <w:jc w:val="both"/>
              <w:pStyle w:val="CellColumn"/>
            </w:pPr>
            <w:r>
              <w:rPr>
                <w:rFonts w:hAnsi="Times New Roman" w:cs="Times New Roman"/>
              </w:rPr>
              <w:t xml:space="preserve">Zamjena dotrajalih stolnih računala i prijenosnih računala novim</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65%</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15%</w:t>
            </w:r>
          </w:p>
        </w:tc>
      </w:tr>
    </w:tbl>
    <w:p>
      <w:pPr>
        <w:jc w:val="left"/>
      </w:pPr>
      <w:r>
        <w:rPr>
          <w:rFonts w:hAnsi="Times New Roman" w:cs="Times New Roman"/>
        </w:rPr>
        <w:t xml:space="preserve"/>
      </w:r>
    </w:p>
    <w:p>
      <w:pPr>
        <w:jc w:val="left"/>
        <w:pStyle w:val="Heading4"/>
      </w:pPr>
      <w:r>
        <w:rPr>
          <w:rFonts w:hAnsi="Times New Roman" w:cs="Times New Roman"/>
        </w:rPr>
        <w:t xml:space="preserve">T544088 SUDJELOVANJE U PROGRAMIMA UNIJE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Zaključak Vlade RH o sudjelovanju Republike Hrvatske u Programima Unije u financijskom razdoblju 2014 - 2020, od 2. srpnja 2014., PROGRAM PRAVOSUĐE (JUSTICE) – Call for proposals JUST-AG-2017, PROGRAM PRAVOSUĐE (JUSTICE) - Call for proposals JUST-JCOO-AG-2018</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T544088-SUDJELOVANJE U PROGRAMIMA UNIJE</w:t>
            </w:r>
          </w:p>
        </w:tc>
        <w:tc>
          <w:tcPr>
            <w:tcW w:w="1632.96" w:type="dxa"/>
            <w:vAlign w:val="center"/>
          </w:tcPr>
          <w:p>
            <w:pPr>
              <w:jc w:val="both"/>
              <w:pStyle w:val="CellColumn"/>
            </w:pPr>
            <w:r>
              <w:rPr>
                <w:rFonts w:hAnsi="Times New Roman" w:cs="Times New Roman"/>
              </w:rPr>
              <w:t xml:space="preserve">59.709</w:t>
            </w:r>
          </w:p>
        </w:tc>
        <w:tc>
          <w:tcPr>
            <w:tcW w:w="1632.96" w:type="dxa"/>
            <w:vAlign w:val="center"/>
          </w:tcPr>
          <w:p>
            <w:pPr>
              <w:jc w:val="both"/>
              <w:pStyle w:val="CellColumn"/>
            </w:pPr>
            <w:r>
              <w:rPr>
                <w:rFonts w:hAnsi="Times New Roman" w:cs="Times New Roman"/>
              </w:rPr>
              <w:t xml:space="preserve">39.511</w:t>
            </w:r>
          </w:p>
        </w:tc>
        <w:tc>
          <w:tcPr>
            <w:tcW w:w="1632.96" w:type="dxa"/>
            <w:vAlign w:val="center"/>
          </w:tcPr>
          <w:p>
            <w:pPr>
              <w:jc w:val="both"/>
              <w:pStyle w:val="CellColumn"/>
            </w:pPr>
            <w:r>
              <w:rPr>
                <w:rFonts w:hAnsi="Times New Roman" w:cs="Times New Roman"/>
              </w:rPr>
              <w:t xml:space="preserve">33.000</w:t>
            </w:r>
          </w:p>
        </w:tc>
        <w:tc>
          <w:tcPr>
            <w:tcW w:w="1632.96" w:type="dxa"/>
            <w:vAlign w:val="center"/>
          </w:tcPr>
          <w:p>
            <w:pPr>
              <w:jc w:val="both"/>
              <w:pStyle w:val="CellColumn"/>
            </w:pPr>
            <w:r>
              <w:rPr>
                <w:rFonts w:hAnsi="Times New Roman" w:cs="Times New Roman"/>
              </w:rPr>
              <w:t xml:space="preserve">33.000</w:t>
            </w:r>
          </w:p>
        </w:tc>
        <w:tc>
          <w:tcPr>
            <w:tcW w:w="1632.96" w:type="dxa"/>
            <w:vAlign w:val="center"/>
          </w:tcPr>
          <w:p>
            <w:pPr>
              <w:jc w:val="both"/>
              <w:pStyle w:val="CellColumn"/>
            </w:pPr>
            <w:r>
              <w:rPr>
                <w:rFonts w:hAnsi="Times New Roman" w:cs="Times New Roman"/>
              </w:rPr>
              <w:t xml:space="preserve">33.000</w:t>
            </w:r>
          </w:p>
        </w:tc>
        <w:tc>
          <w:tcPr>
            <w:tcW w:w="510.3" w:type="dxa"/>
            <w:vAlign w:val="center"/>
          </w:tcPr>
          <w:p>
            <w:pPr>
              <w:jc w:val="both"/>
              <w:pStyle w:val="CellColumn"/>
            </w:pPr>
            <w:r>
              <w:rPr>
                <w:rFonts w:hAnsi="Times New Roman" w:cs="Times New Roman"/>
              </w:rPr>
              <w:t xml:space="preserve">83,5</w:t>
            </w:r>
          </w:p>
        </w:tc>
      </w:tr>
    </w:tbl>
    <w:p>
      <w:pPr>
        <w:jc w:val="left"/>
      </w:pPr>
      <w:r>
        <w:rPr>
          <w:rFonts w:hAnsi="Times New Roman" w:cs="Times New Roman"/>
        </w:rPr>
        <w:t xml:space="preserve"/>
      </w:r>
    </w:p>
    <w:p>
      <w:pPr>
        <w:jc w:val="both"/>
        <w:pStyle w:val="Normal"/>
      </w:pPr>
      <w:r>
        <w:rPr>
          <w:rFonts w:hAnsi="Times New Roman" w:cs="Times New Roman"/>
        </w:rPr>
        <w:t xml:space="preserve">Na ovom projektu su planirana sredstva (IF 12 i IF 51) za moguće povrate uplaćenih sredstva po odobrenju Finalnih izvješća projekta CRO STRENN i za novi portfelj projektnih prijedloga, koji će biti prijavljeni po objavljenim pozivima.</w:t>
      </w:r>
    </w:p>
    <w:p>
      <w:pPr>
        <w:jc w:val="left"/>
        <w:pStyle w:val="Heading4"/>
      </w:pPr>
      <w:r>
        <w:rPr>
          <w:rFonts w:hAnsi="Times New Roman" w:cs="Times New Roman"/>
        </w:rPr>
        <w:t xml:space="preserve">T757027 INSTRUMENT ZA POVEZIVANJE EUROPE - CEF</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Europska Direktiva o uspostavi CEF instrumenta - European e-Justice (Direktiva 2014/41/EU)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T757027-INSTRUMENT ZA POVEZIVANJE EUROPE - CEF</w:t>
            </w:r>
          </w:p>
        </w:tc>
        <w:tc>
          <w:tcPr>
            <w:tcW w:w="1632.96" w:type="dxa"/>
            <w:vAlign w:val="center"/>
          </w:tcPr>
          <w:p>
            <w:pPr>
              <w:jc w:val="both"/>
              <w:pStyle w:val="CellColumn"/>
            </w:pPr>
            <w:r>
              <w:rPr>
                <w:rFonts w:hAnsi="Times New Roman" w:cs="Times New Roman"/>
              </w:rPr>
              <w:t xml:space="preserve">2.828</w:t>
            </w:r>
          </w:p>
        </w:tc>
        <w:tc>
          <w:tcPr>
            <w:tcW w:w="1632.96" w:type="dxa"/>
            <w:vAlign w:val="center"/>
          </w:tcPr>
          <w:p>
            <w:pPr>
              <w:jc w:val="both"/>
              <w:pStyle w:val="CellColumn"/>
            </w:pPr>
            <w:r>
              <w:rPr>
                <w:rFonts w:hAnsi="Times New Roman" w:cs="Times New Roman"/>
              </w:rPr>
              <w:t xml:space="preserve">13.424</w:t>
            </w:r>
          </w:p>
        </w:tc>
        <w:tc>
          <w:tcPr>
            <w:tcW w:w="1632.96" w:type="dxa"/>
            <w:vAlign w:val="center"/>
          </w:tcPr>
          <w:p>
            <w:pPr>
              <w:jc w:val="both"/>
              <w:pStyle w:val="CellColumn"/>
            </w:pPr>
            <w:r>
              <w:rPr>
                <w:rFonts w:hAnsi="Times New Roman" w:cs="Times New Roman"/>
              </w:rPr>
              <w:t xml:space="preserve">33.000</w:t>
            </w:r>
          </w:p>
        </w:tc>
        <w:tc>
          <w:tcPr>
            <w:tcW w:w="1632.96" w:type="dxa"/>
            <w:vAlign w:val="center"/>
          </w:tcPr>
          <w:p>
            <w:pPr>
              <w:jc w:val="both"/>
              <w:pStyle w:val="CellColumn"/>
            </w:pPr>
            <w:r>
              <w:rPr>
                <w:rFonts w:hAnsi="Times New Roman" w:cs="Times New Roman"/>
              </w:rPr>
              <w:t xml:space="preserve">33.000</w:t>
            </w:r>
          </w:p>
        </w:tc>
        <w:tc>
          <w:tcPr>
            <w:tcW w:w="1632.96" w:type="dxa"/>
            <w:vAlign w:val="center"/>
          </w:tcPr>
          <w:p>
            <w:pPr>
              <w:jc w:val="both"/>
              <w:pStyle w:val="CellColumn"/>
            </w:pPr>
            <w:r>
              <w:rPr>
                <w:rFonts w:hAnsi="Times New Roman" w:cs="Times New Roman"/>
              </w:rPr>
              <w:t xml:space="preserve">33.000</w:t>
            </w:r>
          </w:p>
        </w:tc>
        <w:tc>
          <w:tcPr>
            <w:tcW w:w="510.3" w:type="dxa"/>
            <w:vAlign w:val="center"/>
          </w:tcPr>
          <w:p>
            <w:pPr>
              <w:jc w:val="both"/>
              <w:pStyle w:val="CellColumn"/>
            </w:pPr>
            <w:r>
              <w:rPr>
                <w:rFonts w:hAnsi="Times New Roman" w:cs="Times New Roman"/>
              </w:rPr>
              <w:t xml:space="preserve">245,8</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sredstva se planiraju za provedbu projekata financiranih sredstvima Instrumenta za povezivanje Europe (CEF). Planirana sredstva (IF 12 i IF 51) se odnose na planirane nove projektne operacije koje će se financirati iz Instrumenta za povezivanje Europe kao i za moguće povrate uplaćenih predujmova, što će  biti poznato tek po odobrenju Finalnih izvješća.</w:t>
      </w:r>
    </w:p>
    <w:p>
      <w:pPr>
        <w:jc w:val="left"/>
        <w:pStyle w:val="Heading3"/>
      </w:pPr>
      <w:r>
        <w:rPr>
          <w:rFonts w:hAnsi="Times New Roman" w:cs="Times New Roman"/>
        </w:rPr>
        <w:t xml:space="preserve">2809 UPRAVLJANJE ZATVORSKIM I PROBACIJSKIM SUSTAVOM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2809-UPRAVLJANJE ZATVORSKIM I PROBACIJSKIM SUSTAVOM</w:t>
            </w:r>
          </w:p>
        </w:tc>
        <w:tc>
          <w:tcPr>
            <w:tcW w:w="1632.96" w:type="dxa"/>
            <w:vAlign w:val="center"/>
          </w:tcPr>
          <w:p>
            <w:pPr>
              <w:jc w:val="both"/>
              <w:pStyle w:val="CellColumn"/>
            </w:pPr>
            <w:r>
              <w:rPr>
                <w:rFonts w:hAnsi="Times New Roman" w:cs="Times New Roman"/>
              </w:rPr>
              <w:t xml:space="preserve">1.541.065</w:t>
            </w:r>
          </w:p>
        </w:tc>
        <w:tc>
          <w:tcPr>
            <w:tcW w:w="1632.96" w:type="dxa"/>
            <w:vAlign w:val="center"/>
          </w:tcPr>
          <w:p>
            <w:pPr>
              <w:jc w:val="both"/>
              <w:pStyle w:val="CellColumn"/>
            </w:pPr>
            <w:r>
              <w:rPr>
                <w:rFonts w:hAnsi="Times New Roman" w:cs="Times New Roman"/>
              </w:rPr>
              <w:t xml:space="preserve">2.875.708</w:t>
            </w:r>
          </w:p>
        </w:tc>
        <w:tc>
          <w:tcPr>
            <w:tcW w:w="1632.96" w:type="dxa"/>
            <w:vAlign w:val="center"/>
          </w:tcPr>
          <w:p>
            <w:pPr>
              <w:jc w:val="both"/>
              <w:pStyle w:val="CellColumn"/>
            </w:pPr>
            <w:r>
              <w:rPr>
                <w:rFonts w:hAnsi="Times New Roman" w:cs="Times New Roman"/>
              </w:rPr>
              <w:t xml:space="preserve">3.015.630</w:t>
            </w:r>
          </w:p>
        </w:tc>
        <w:tc>
          <w:tcPr>
            <w:tcW w:w="1632.96" w:type="dxa"/>
            <w:vAlign w:val="center"/>
          </w:tcPr>
          <w:p>
            <w:pPr>
              <w:jc w:val="both"/>
              <w:pStyle w:val="CellColumn"/>
            </w:pPr>
            <w:r>
              <w:rPr>
                <w:rFonts w:hAnsi="Times New Roman" w:cs="Times New Roman"/>
              </w:rPr>
              <w:t xml:space="preserve">3.055.630</w:t>
            </w:r>
          </w:p>
        </w:tc>
        <w:tc>
          <w:tcPr>
            <w:tcW w:w="1632.96" w:type="dxa"/>
            <w:vAlign w:val="center"/>
          </w:tcPr>
          <w:p>
            <w:pPr>
              <w:jc w:val="both"/>
              <w:pStyle w:val="CellColumn"/>
            </w:pPr>
            <w:r>
              <w:rPr>
                <w:rFonts w:hAnsi="Times New Roman" w:cs="Times New Roman"/>
              </w:rPr>
              <w:t xml:space="preserve">2.919.030</w:t>
            </w:r>
          </w:p>
        </w:tc>
        <w:tc>
          <w:tcPr>
            <w:tcW w:w="510.3" w:type="dxa"/>
            <w:vAlign w:val="center"/>
          </w:tcPr>
          <w:p>
            <w:pPr>
              <w:jc w:val="both"/>
              <w:pStyle w:val="CellColumn"/>
            </w:pPr>
            <w:r>
              <w:rPr>
                <w:rFonts w:hAnsi="Times New Roman" w:cs="Times New Roman"/>
              </w:rPr>
              <w:t xml:space="preserve">104,9</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zaštite ljudskih prava i temeljnih sloboda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Povećanje udjela uspješno provedenih mjera za promicanje zaštite ljudskih prava i sloboda</w:t>
            </w:r>
          </w:p>
        </w:tc>
        <w:tc>
          <w:tcPr>
            <w:tcW w:w="2245.32" w:type="dxa"/>
            <w:vAlign w:val="center"/>
          </w:tcPr>
          <w:p>
            <w:pPr>
              <w:jc w:val="both"/>
              <w:pStyle w:val="CellColumn"/>
            </w:pPr>
            <w:r>
              <w:rPr>
                <w:rFonts w:hAnsi="Times New Roman" w:cs="Times New Roman"/>
              </w:rPr>
              <w:t xml:space="preserve">Povećanje udjela uspješno provedenih mjera i aktivnosti u vezi s promicanjem zaštite ljudskih prava i sloboda u okviru zatvorskog i probacijskog sustava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80</w:t>
            </w:r>
          </w:p>
        </w:tc>
        <w:tc>
          <w:tcPr>
            <w:tcW w:w="918.54" w:type="dxa"/>
            <w:vAlign w:val="center"/>
          </w:tcPr>
          <w:p>
            <w:pPr>
              <w:jc w:val="both"/>
              <w:pStyle w:val="CellColumn"/>
            </w:pPr>
            <w:r>
              <w:rPr>
                <w:rFonts w:hAnsi="Times New Roman" w:cs="Times New Roman"/>
              </w:rPr>
              <w:t xml:space="preserve">85</w:t>
            </w:r>
          </w:p>
        </w:tc>
        <w:tc>
          <w:tcPr>
            <w:tcW w:w="918.54" w:type="dxa"/>
            <w:vAlign w:val="center"/>
          </w:tcPr>
          <w:p>
            <w:pPr>
              <w:jc w:val="both"/>
              <w:pStyle w:val="CellColumn"/>
            </w:pPr>
            <w:r>
              <w:rPr>
                <w:rFonts w:hAnsi="Times New Roman" w:cs="Times New Roman"/>
              </w:rPr>
              <w:t xml:space="preserve">87</w:t>
            </w:r>
          </w:p>
        </w:tc>
      </w:tr>
    </w:tbl>
    <w:p>
      <w:pPr>
        <w:jc w:val="left"/>
      </w:pPr>
      <w:r>
        <w:rPr>
          <w:rFonts w:hAnsi="Times New Roman" w:cs="Times New Roman"/>
        </w:rPr>
        <w:t xml:space="preserve"/>
      </w:r>
    </w:p>
    <w:p>
      <w:pPr>
        <w:jc w:val="left"/>
        <w:pStyle w:val="Heading4"/>
      </w:pPr>
      <w:r>
        <w:rPr>
          <w:rFonts w:hAnsi="Times New Roman" w:cs="Times New Roman"/>
        </w:rPr>
        <w:t xml:space="preserve">A544086 RESOCIJALIZACIJA I SOCIJALNA INTEGRACIJA OVISNIKA POČINITELJA KAZNENIH DJELA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Kazneni zakon (čl. 62. stavak 1., točka 5. i čl. 69. stavak 2.)</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A544086-RESOCIJALIZACIJA I SOCIJALNA INTEGRACIJA OVISNIKA POČINITELJA KAZNENIH DJELA</w:t>
            </w:r>
          </w:p>
        </w:tc>
        <w:tc>
          <w:tcPr>
            <w:tcW w:w="1632.96" w:type="dxa"/>
            <w:vAlign w:val="center"/>
          </w:tcPr>
          <w:p>
            <w:pPr>
              <w:jc w:val="both"/>
              <w:pStyle w:val="CellColumn"/>
            </w:pPr>
            <w:r>
              <w:rPr>
                <w:rFonts w:hAnsi="Times New Roman" w:cs="Times New Roman"/>
              </w:rPr>
              <w:t xml:space="preserve">438</w:t>
            </w:r>
          </w:p>
        </w:tc>
        <w:tc>
          <w:tcPr>
            <w:tcW w:w="1632.96" w:type="dxa"/>
            <w:vAlign w:val="center"/>
          </w:tcPr>
          <w:p>
            <w:pPr>
              <w:jc w:val="both"/>
              <w:pStyle w:val="CellColumn"/>
            </w:pPr>
            <w:r>
              <w:rPr>
                <w:rFonts w:hAnsi="Times New Roman" w:cs="Times New Roman"/>
              </w:rPr>
              <w:t xml:space="preserve">1.327</w:t>
            </w:r>
          </w:p>
        </w:tc>
        <w:tc>
          <w:tcPr>
            <w:tcW w:w="1632.96" w:type="dxa"/>
            <w:vAlign w:val="center"/>
          </w:tcPr>
          <w:p>
            <w:pPr>
              <w:jc w:val="both"/>
              <w:pStyle w:val="CellColumn"/>
            </w:pPr>
            <w:r>
              <w:rPr>
                <w:rFonts w:hAnsi="Times New Roman" w:cs="Times New Roman"/>
              </w:rPr>
              <w:t xml:space="preserve">1.000</w:t>
            </w:r>
          </w:p>
        </w:tc>
        <w:tc>
          <w:tcPr>
            <w:tcW w:w="1632.96" w:type="dxa"/>
            <w:vAlign w:val="center"/>
          </w:tcPr>
          <w:p>
            <w:pPr>
              <w:jc w:val="both"/>
              <w:pStyle w:val="CellColumn"/>
            </w:pPr>
            <w:r>
              <w:rPr>
                <w:rFonts w:hAnsi="Times New Roman" w:cs="Times New Roman"/>
              </w:rPr>
              <w:t xml:space="preserve">1.000</w:t>
            </w:r>
          </w:p>
        </w:tc>
        <w:tc>
          <w:tcPr>
            <w:tcW w:w="1632.96" w:type="dxa"/>
            <w:vAlign w:val="center"/>
          </w:tcPr>
          <w:p>
            <w:pPr>
              <w:jc w:val="both"/>
              <w:pStyle w:val="CellColumn"/>
            </w:pPr>
            <w:r>
              <w:rPr>
                <w:rFonts w:hAnsi="Times New Roman" w:cs="Times New Roman"/>
              </w:rPr>
              <w:t xml:space="preserve">1.000</w:t>
            </w:r>
          </w:p>
        </w:tc>
        <w:tc>
          <w:tcPr>
            <w:tcW w:w="510.3" w:type="dxa"/>
            <w:vAlign w:val="center"/>
          </w:tcPr>
          <w:p>
            <w:pPr>
              <w:jc w:val="both"/>
              <w:pStyle w:val="CellColumn"/>
            </w:pPr>
            <w:r>
              <w:rPr>
                <w:rFonts w:hAnsi="Times New Roman" w:cs="Times New Roman"/>
              </w:rPr>
              <w:t xml:space="preserve">75,4</w:t>
            </w:r>
          </w:p>
        </w:tc>
      </w:tr>
    </w:tbl>
    <w:p>
      <w:pPr>
        <w:jc w:val="left"/>
      </w:pPr>
      <w:r>
        <w:rPr>
          <w:rFonts w:hAnsi="Times New Roman" w:cs="Times New Roman"/>
        </w:rPr>
        <w:t xml:space="preserve"/>
      </w:r>
    </w:p>
    <w:p>
      <w:pPr>
        <w:jc w:val="both"/>
        <w:pStyle w:val="Normal"/>
      </w:pPr>
      <w:r>
        <w:rPr>
          <w:rFonts w:hAnsi="Times New Roman" w:cs="Times New Roman"/>
        </w:rPr>
        <w:t xml:space="preserve">Vezano za provedbu aktivnosti za rad s ovisnicima, potrebno je osigurati kontinuirano stručno usavršavanje zatvorskih i probacijskih službenika, kao i unaprijediti suradnju kaznenih tijela, probacijskih ureda i drugih dionika koji se bave problematikom ovisnosti i rade s osuđenicima i osobama lišenim slobode.</w:t>
      </w:r>
    </w:p>
    <w:p>
      <w:pPr>
        <w:jc w:val="left"/>
        <w:pStyle w:val="Heading4"/>
      </w:pPr>
      <w:r>
        <w:rPr>
          <w:rFonts w:hAnsi="Times New Roman" w:cs="Times New Roman"/>
        </w:rPr>
        <w:t xml:space="preserve">A544090 DJELATNOST UPRAVE ZA ZATVORSKI SUSTAV</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izvršavanju kazne zatvora, Zakon o izvršavanju sankcija izrečenih maloljetnicima za kaznena djela i prekršaje, Uredba o zvanjima, znakovlju i uvjetima stjecanja zvanja državnih službenika odjela osiguranja u kaznionicama i zatvorima, Pravilnik o poslovima osiguranja u zatvorskom sustavu, Pravilnik o kućnom redu u zatvorima za izvršavanje istražnog zatvora, Pravilnik o službenoj iskaznici i znački ovlaštene službene osobe upravne organizacije za zatvorski sustav ministarstva nadležnog za poslove pravosuđa, Pravilnik o posebnoj psihičkoj i tjelesnoj zdravstvenoj sposobnosti službenika pravosudne policije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A544090-DJELATNOST UPRAVE ZA ZATVORSKI SUSTAV</w:t>
            </w:r>
          </w:p>
        </w:tc>
        <w:tc>
          <w:tcPr>
            <w:tcW w:w="1632.96" w:type="dxa"/>
            <w:vAlign w:val="center"/>
          </w:tcPr>
          <w:p>
            <w:pPr>
              <w:jc w:val="both"/>
              <w:pStyle w:val="CellColumn"/>
            </w:pPr>
            <w:r>
              <w:rPr>
                <w:rFonts w:hAnsi="Times New Roman" w:cs="Times New Roman"/>
              </w:rPr>
              <w:t xml:space="preserve">1.103.227</w:t>
            </w:r>
          </w:p>
        </w:tc>
        <w:tc>
          <w:tcPr>
            <w:tcW w:w="1632.96" w:type="dxa"/>
            <w:vAlign w:val="center"/>
          </w:tcPr>
          <w:p>
            <w:pPr>
              <w:jc w:val="both"/>
              <w:pStyle w:val="CellColumn"/>
            </w:pPr>
            <w:r>
              <w:rPr>
                <w:rFonts w:hAnsi="Times New Roman" w:cs="Times New Roman"/>
              </w:rPr>
              <w:t xml:space="preserve">2.302.151</w:t>
            </w:r>
          </w:p>
        </w:tc>
        <w:tc>
          <w:tcPr>
            <w:tcW w:w="1632.96" w:type="dxa"/>
            <w:vAlign w:val="center"/>
          </w:tcPr>
          <w:p>
            <w:pPr>
              <w:jc w:val="both"/>
              <w:pStyle w:val="CellColumn"/>
            </w:pPr>
            <w:r>
              <w:rPr>
                <w:rFonts w:hAnsi="Times New Roman" w:cs="Times New Roman"/>
              </w:rPr>
              <w:t xml:space="preserve">2.421.400</w:t>
            </w:r>
          </w:p>
        </w:tc>
        <w:tc>
          <w:tcPr>
            <w:tcW w:w="1632.96" w:type="dxa"/>
            <w:vAlign w:val="center"/>
          </w:tcPr>
          <w:p>
            <w:pPr>
              <w:jc w:val="both"/>
              <w:pStyle w:val="CellColumn"/>
            </w:pPr>
            <w:r>
              <w:rPr>
                <w:rFonts w:hAnsi="Times New Roman" w:cs="Times New Roman"/>
              </w:rPr>
              <w:t xml:space="preserve">2.463.400</w:t>
            </w:r>
          </w:p>
        </w:tc>
        <w:tc>
          <w:tcPr>
            <w:tcW w:w="1632.96" w:type="dxa"/>
            <w:vAlign w:val="center"/>
          </w:tcPr>
          <w:p>
            <w:pPr>
              <w:jc w:val="both"/>
              <w:pStyle w:val="CellColumn"/>
            </w:pPr>
            <w:r>
              <w:rPr>
                <w:rFonts w:hAnsi="Times New Roman" w:cs="Times New Roman"/>
              </w:rPr>
              <w:t xml:space="preserve">2.415.800</w:t>
            </w:r>
          </w:p>
        </w:tc>
        <w:tc>
          <w:tcPr>
            <w:tcW w:w="510.3" w:type="dxa"/>
            <w:vAlign w:val="center"/>
          </w:tcPr>
          <w:p>
            <w:pPr>
              <w:jc w:val="both"/>
              <w:pStyle w:val="CellColumn"/>
            </w:pPr>
            <w:r>
              <w:rPr>
                <w:rFonts w:hAnsi="Times New Roman" w:cs="Times New Roman"/>
              </w:rPr>
              <w:t xml:space="preserve">105,2</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se, najvećim dijelom, odnose na nabavu službenih odora i opreme za službenike pravosudne policije. Pravilnik o poslovima osiguranja u zatvorskom sustavu propisuje da službenici pravosudne policije poslove obavljaju propisno odjeveni, opremljeni svom potrebnom opremom i naoružanjem prema opisu poslova radnog mjesta. Maksimalna sigurnost u kaznenim tijelima može se postići uz optimalnu opremljenost službenika pravosudne policije službenim odorama i opremom. U tu svrhu je za 2025. planirano 2.421.400 €, od čega se najveći dio u iznosu 1.800.000 € (74,3%) odnosi na nabavu službenih odora  i opreme (streljivo, službene značke, kompleti za nošenje oružja, nosači značaka, futrole, lisice, raspršivači s DNT, palice, etui, patrone). Planirana sredstva za 2026. iznose 2.463.400 € i 2027. 2.415.800 €.Planirana sredstva za 2025. su za 119.249 € veća u odnosu na Tekući plan 2024. Najveći dio povećanja (98.400 €) se odnosi na najam nanogica za elektronički nadzor te 19.000 € za  refundaciju Ministarstvu unutarnjih poslova školarine za dva razreda srednje policijske škole i dr.</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nabavljenih službenih odora i opreme u odnosu na planirano</w:t>
            </w:r>
          </w:p>
        </w:tc>
        <w:tc>
          <w:tcPr>
            <w:tcW w:w="2245.32" w:type="dxa"/>
            <w:vAlign w:val="center"/>
          </w:tcPr>
          <w:p>
            <w:pPr>
              <w:jc w:val="both"/>
              <w:pStyle w:val="CellColumn"/>
            </w:pPr>
            <w:r>
              <w:rPr>
                <w:rFonts w:hAnsi="Times New Roman" w:cs="Times New Roman"/>
              </w:rPr>
              <w:t xml:space="preserve">Optimalna opremljenost službenika pravosudne policije s ciljem postizanja maksimalne sigurnosti u kaznenim tijelima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A630079 SUSTAV ZA PROBACIJU U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probaciji, Pravilnik o načinu obavljanja probacijskih poslova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A630079-SUSTAV ZA PROBACIJU U RH</w:t>
            </w:r>
          </w:p>
        </w:tc>
        <w:tc>
          <w:tcPr>
            <w:tcW w:w="1632.96" w:type="dxa"/>
            <w:vAlign w:val="center"/>
          </w:tcPr>
          <w:p>
            <w:pPr>
              <w:jc w:val="both"/>
              <w:pStyle w:val="CellColumn"/>
            </w:pPr>
            <w:r>
              <w:rPr>
                <w:rFonts w:hAnsi="Times New Roman" w:cs="Times New Roman"/>
              </w:rPr>
              <w:t xml:space="preserve">437.400</w:t>
            </w:r>
          </w:p>
        </w:tc>
        <w:tc>
          <w:tcPr>
            <w:tcW w:w="1632.96" w:type="dxa"/>
            <w:vAlign w:val="center"/>
          </w:tcPr>
          <w:p>
            <w:pPr>
              <w:jc w:val="both"/>
              <w:pStyle w:val="CellColumn"/>
            </w:pPr>
            <w:r>
              <w:rPr>
                <w:rFonts w:hAnsi="Times New Roman" w:cs="Times New Roman"/>
              </w:rPr>
              <w:t xml:space="preserve">572.230</w:t>
            </w:r>
          </w:p>
        </w:tc>
        <w:tc>
          <w:tcPr>
            <w:tcW w:w="1632.96" w:type="dxa"/>
            <w:vAlign w:val="center"/>
          </w:tcPr>
          <w:p>
            <w:pPr>
              <w:jc w:val="both"/>
              <w:pStyle w:val="CellColumn"/>
            </w:pPr>
            <w:r>
              <w:rPr>
                <w:rFonts w:hAnsi="Times New Roman" w:cs="Times New Roman"/>
              </w:rPr>
              <w:t xml:space="preserve">593.230</w:t>
            </w:r>
          </w:p>
        </w:tc>
        <w:tc>
          <w:tcPr>
            <w:tcW w:w="1632.96" w:type="dxa"/>
            <w:vAlign w:val="center"/>
          </w:tcPr>
          <w:p>
            <w:pPr>
              <w:jc w:val="both"/>
              <w:pStyle w:val="CellColumn"/>
            </w:pPr>
            <w:r>
              <w:rPr>
                <w:rFonts w:hAnsi="Times New Roman" w:cs="Times New Roman"/>
              </w:rPr>
              <w:t xml:space="preserve">591.230</w:t>
            </w:r>
          </w:p>
        </w:tc>
        <w:tc>
          <w:tcPr>
            <w:tcW w:w="1632.96" w:type="dxa"/>
            <w:vAlign w:val="center"/>
          </w:tcPr>
          <w:p>
            <w:pPr>
              <w:jc w:val="both"/>
              <w:pStyle w:val="CellColumn"/>
            </w:pPr>
            <w:r>
              <w:rPr>
                <w:rFonts w:hAnsi="Times New Roman" w:cs="Times New Roman"/>
              </w:rPr>
              <w:t xml:space="preserve">502.230</w:t>
            </w:r>
          </w:p>
        </w:tc>
        <w:tc>
          <w:tcPr>
            <w:tcW w:w="510.3" w:type="dxa"/>
            <w:vAlign w:val="center"/>
          </w:tcPr>
          <w:p>
            <w:pPr>
              <w:jc w:val="both"/>
              <w:pStyle w:val="CellColumn"/>
            </w:pPr>
            <w:r>
              <w:rPr>
                <w:rFonts w:hAnsi="Times New Roman" w:cs="Times New Roman"/>
              </w:rPr>
              <w:t xml:space="preserve">103,7</w:t>
            </w:r>
          </w:p>
        </w:tc>
      </w:tr>
    </w:tbl>
    <w:p>
      <w:pPr>
        <w:jc w:val="left"/>
      </w:pPr>
      <w:r>
        <w:rPr>
          <w:rFonts w:hAnsi="Times New Roman" w:cs="Times New Roman"/>
        </w:rPr>
        <w:t xml:space="preserve"/>
      </w:r>
    </w:p>
    <w:p>
      <w:pPr>
        <w:jc w:val="both"/>
        <w:pStyle w:val="Normal"/>
      </w:pPr>
      <w:r>
        <w:rPr>
          <w:rFonts w:hAnsi="Times New Roman" w:cs="Times New Roman"/>
        </w:rPr>
        <w:t xml:space="preserve">Na ovoj aktivnosti su planirana sredstva za redovito funkcioniranje probacijske službe u Republici Hrvatskoj, a samim time i izvršavanje svih probacijskih poslova sukladno Zakonu o probaciji. Prema Uredbi o unutarnjem ustrojstvu Ministarstva pravosuđa, uprave i digitalne transformacije, za obavljanje upravnih te stručnih probacijskih poslove kod odlučivanja o kaznenom progonu, izboru vrste kaznenopravnih sankcija i izvršavanja kaznenopravnih sankcija izrečenih počinitelju kaznenog djela koje se izvršavaju na slobodi ustrojena je Uprava za zatvorski sustav i probaciju odnosno Sektor za probaciju. Sektor za probaciju, prema Zakonu o probaciji, obavlja poslove od posebnog interesa za Republiku Hrvatsku, a koji se obavljaju s ciljem zaštite društvene zajednice od počinitelja kaznenih djela, njihove resocijalizacije i reintegracije u zajednicu utjecanjem na rizične čimbenike koji su povezani s činjenjem kaznenih djela. Sektor za probaciju čine Središnji ured za probaciju i 15 probacijskih ureda ustrojenih u Upravi za zatvorski sustav i probaciju. Za potrebe rada Sektora za probaciju planirana su sredstva u iznosu 502.230 € (IF 11) za 2025., što je na razini Tekućeg plana za 2024. Na IF 52 su planirana sredstva iz dva Erasmus + projekta u iznosu 91.000 € za 2025. i 89.000 € za 2026., a odnose se na troškove provedbe projektnih aktivnosti.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Redovito izvršavanje predmeta koje na nadležno postupanje zaprimi probacijska služba</w:t>
            </w:r>
          </w:p>
        </w:tc>
        <w:tc>
          <w:tcPr>
            <w:tcW w:w="2245.32" w:type="dxa"/>
            <w:vAlign w:val="center"/>
          </w:tcPr>
          <w:p>
            <w:pPr>
              <w:jc w:val="both"/>
              <w:pStyle w:val="CellColumn"/>
            </w:pPr>
            <w:r>
              <w:rPr>
                <w:rFonts w:hAnsi="Times New Roman" w:cs="Times New Roman"/>
              </w:rPr>
              <w:t xml:space="preserve">Svi predmeti koji se zaprime u jednoj kalendarskoj godini u zakonskom roku se mora započeti s njihovim izvršavanjem.</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3"/>
      </w:pPr>
      <w:r>
        <w:rPr>
          <w:rFonts w:hAnsi="Times New Roman" w:cs="Times New Roman"/>
        </w:rPr>
        <w:t xml:space="preserve">2811 LJUDSKA PRAVA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2811-LJUDSKA PRAVA</w:t>
            </w:r>
          </w:p>
        </w:tc>
        <w:tc>
          <w:tcPr>
            <w:tcW w:w="1632.96" w:type="dxa"/>
            <w:vAlign w:val="center"/>
          </w:tcPr>
          <w:p>
            <w:pPr>
              <w:jc w:val="both"/>
              <w:pStyle w:val="CellColumn"/>
            </w:pPr>
            <w:r>
              <w:rPr>
                <w:rFonts w:hAnsi="Times New Roman" w:cs="Times New Roman"/>
              </w:rPr>
              <w:t xml:space="preserve">808.380</w:t>
            </w:r>
          </w:p>
        </w:tc>
        <w:tc>
          <w:tcPr>
            <w:tcW w:w="1632.96" w:type="dxa"/>
            <w:vAlign w:val="center"/>
          </w:tcPr>
          <w:p>
            <w:pPr>
              <w:jc w:val="both"/>
              <w:pStyle w:val="CellColumn"/>
            </w:pPr>
            <w:r>
              <w:rPr>
                <w:rFonts w:hAnsi="Times New Roman" w:cs="Times New Roman"/>
              </w:rPr>
              <w:t xml:space="preserve">1.151.985</w:t>
            </w:r>
          </w:p>
        </w:tc>
        <w:tc>
          <w:tcPr>
            <w:tcW w:w="1632.96" w:type="dxa"/>
            <w:vAlign w:val="center"/>
          </w:tcPr>
          <w:p>
            <w:pPr>
              <w:jc w:val="both"/>
              <w:pStyle w:val="CellColumn"/>
            </w:pPr>
            <w:r>
              <w:rPr>
                <w:rFonts w:hAnsi="Times New Roman" w:cs="Times New Roman"/>
              </w:rPr>
              <w:t xml:space="preserve">1.250.000</w:t>
            </w:r>
          </w:p>
        </w:tc>
        <w:tc>
          <w:tcPr>
            <w:tcW w:w="1632.96" w:type="dxa"/>
            <w:vAlign w:val="center"/>
          </w:tcPr>
          <w:p>
            <w:pPr>
              <w:jc w:val="both"/>
              <w:pStyle w:val="CellColumn"/>
            </w:pPr>
            <w:r>
              <w:rPr>
                <w:rFonts w:hAnsi="Times New Roman" w:cs="Times New Roman"/>
              </w:rPr>
              <w:t xml:space="preserve">1.225.000</w:t>
            </w:r>
          </w:p>
        </w:tc>
        <w:tc>
          <w:tcPr>
            <w:tcW w:w="1632.96" w:type="dxa"/>
            <w:vAlign w:val="center"/>
          </w:tcPr>
          <w:p>
            <w:pPr>
              <w:jc w:val="both"/>
              <w:pStyle w:val="CellColumn"/>
            </w:pPr>
            <w:r>
              <w:rPr>
                <w:rFonts w:hAnsi="Times New Roman" w:cs="Times New Roman"/>
              </w:rPr>
              <w:t xml:space="preserve">1.225.000</w:t>
            </w:r>
          </w:p>
        </w:tc>
        <w:tc>
          <w:tcPr>
            <w:tcW w:w="510.3" w:type="dxa"/>
            <w:vAlign w:val="center"/>
          </w:tcPr>
          <w:p>
            <w:pPr>
              <w:jc w:val="both"/>
              <w:pStyle w:val="CellColumn"/>
            </w:pPr>
            <w:r>
              <w:rPr>
                <w:rFonts w:hAnsi="Times New Roman" w:cs="Times New Roman"/>
              </w:rPr>
              <w:t xml:space="preserve">108,5</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zaštite ljudskih prava i temeljnih sloboda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uspješno provedenih mjera i aktivnosti u vezi s promicanjem zaštite ljudskih prava i sloboda</w:t>
            </w:r>
          </w:p>
        </w:tc>
        <w:tc>
          <w:tcPr>
            <w:tcW w:w="2245.32" w:type="dxa"/>
            <w:vAlign w:val="center"/>
          </w:tcPr>
          <w:p>
            <w:pPr>
              <w:jc w:val="both"/>
              <w:pStyle w:val="CellColumn"/>
            </w:pPr>
            <w:r>
              <w:rPr>
                <w:rFonts w:hAnsi="Times New Roman" w:cs="Times New Roman"/>
              </w:rPr>
              <w:t xml:space="preserve">Uspješno provedene mjere i aktivnosti u vezi s promicanjem zaštite ljudskih prava i sloboda u okviru zatvorskog i probaciijskog sustava, te sustava podrške žrtvama i svjedocima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80</w:t>
            </w:r>
          </w:p>
        </w:tc>
        <w:tc>
          <w:tcPr>
            <w:tcW w:w="918.54" w:type="dxa"/>
            <w:vAlign w:val="center"/>
          </w:tcPr>
          <w:p>
            <w:pPr>
              <w:jc w:val="both"/>
              <w:pStyle w:val="CellColumn"/>
            </w:pPr>
            <w:r>
              <w:rPr>
                <w:rFonts w:hAnsi="Times New Roman" w:cs="Times New Roman"/>
              </w:rPr>
              <w:t xml:space="preserve">85</w:t>
            </w:r>
          </w:p>
        </w:tc>
        <w:tc>
          <w:tcPr>
            <w:tcW w:w="918.54" w:type="dxa"/>
            <w:vAlign w:val="center"/>
          </w:tcPr>
          <w:p>
            <w:pPr>
              <w:jc w:val="both"/>
              <w:pStyle w:val="CellColumn"/>
            </w:pPr>
            <w:r>
              <w:rPr>
                <w:rFonts w:hAnsi="Times New Roman" w:cs="Times New Roman"/>
              </w:rPr>
              <w:t xml:space="preserve">87</w:t>
            </w:r>
          </w:p>
        </w:tc>
      </w:tr>
    </w:tbl>
    <w:p>
      <w:pPr>
        <w:jc w:val="left"/>
      </w:pPr>
      <w:r>
        <w:rPr>
          <w:rFonts w:hAnsi="Times New Roman" w:cs="Times New Roman"/>
        </w:rPr>
        <w:t xml:space="preserve"/>
      </w:r>
    </w:p>
    <w:p>
      <w:pPr>
        <w:jc w:val="left"/>
        <w:pStyle w:val="Heading4"/>
      </w:pPr>
      <w:r>
        <w:rPr>
          <w:rFonts w:hAnsi="Times New Roman" w:cs="Times New Roman"/>
        </w:rPr>
        <w:t xml:space="preserve">A630048 BESPLATNA PRAVNA POMOĆ</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besplatnoj pravnoj pomoći (čl. 35. st. 1., čl. 36. i čl. 37. st. 2.), Uredba o vrijednosti iznosa za utvrđivanje naknade za pružanje sekundarne pravne pomoći za 2023. godinu, Pravilnik o kriterijima za vrednovanje projekata udruga ovlaštenih za pružanje primarne pravne pomoći i pravnih klinika te o načinu izvještavanja o postupcima za ostvarivanje pravne pomoći.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A630048-BESPLATNA PRAVNA POMOĆ</w:t>
            </w:r>
          </w:p>
        </w:tc>
        <w:tc>
          <w:tcPr>
            <w:tcW w:w="1632.96" w:type="dxa"/>
            <w:vAlign w:val="center"/>
          </w:tcPr>
          <w:p>
            <w:pPr>
              <w:jc w:val="both"/>
              <w:pStyle w:val="CellColumn"/>
            </w:pPr>
            <w:r>
              <w:rPr>
                <w:rFonts w:hAnsi="Times New Roman" w:cs="Times New Roman"/>
              </w:rPr>
              <w:t xml:space="preserve">808.380</w:t>
            </w:r>
          </w:p>
        </w:tc>
        <w:tc>
          <w:tcPr>
            <w:tcW w:w="1632.96" w:type="dxa"/>
            <w:vAlign w:val="center"/>
          </w:tcPr>
          <w:p>
            <w:pPr>
              <w:jc w:val="both"/>
              <w:pStyle w:val="CellColumn"/>
            </w:pPr>
            <w:r>
              <w:rPr>
                <w:rFonts w:hAnsi="Times New Roman" w:cs="Times New Roman"/>
              </w:rPr>
              <w:t xml:space="preserve">1.151.985</w:t>
            </w:r>
          </w:p>
        </w:tc>
        <w:tc>
          <w:tcPr>
            <w:tcW w:w="1632.96" w:type="dxa"/>
            <w:vAlign w:val="center"/>
          </w:tcPr>
          <w:p>
            <w:pPr>
              <w:jc w:val="both"/>
              <w:pStyle w:val="CellColumn"/>
            </w:pPr>
            <w:r>
              <w:rPr>
                <w:rFonts w:hAnsi="Times New Roman" w:cs="Times New Roman"/>
              </w:rPr>
              <w:t xml:space="preserve">1.250.000</w:t>
            </w:r>
          </w:p>
        </w:tc>
        <w:tc>
          <w:tcPr>
            <w:tcW w:w="1632.96" w:type="dxa"/>
            <w:vAlign w:val="center"/>
          </w:tcPr>
          <w:p>
            <w:pPr>
              <w:jc w:val="both"/>
              <w:pStyle w:val="CellColumn"/>
            </w:pPr>
            <w:r>
              <w:rPr>
                <w:rFonts w:hAnsi="Times New Roman" w:cs="Times New Roman"/>
              </w:rPr>
              <w:t xml:space="preserve">1.225.000</w:t>
            </w:r>
          </w:p>
        </w:tc>
        <w:tc>
          <w:tcPr>
            <w:tcW w:w="1632.96" w:type="dxa"/>
            <w:vAlign w:val="center"/>
          </w:tcPr>
          <w:p>
            <w:pPr>
              <w:jc w:val="both"/>
              <w:pStyle w:val="CellColumn"/>
            </w:pPr>
            <w:r>
              <w:rPr>
                <w:rFonts w:hAnsi="Times New Roman" w:cs="Times New Roman"/>
              </w:rPr>
              <w:t xml:space="preserve">1.225.000</w:t>
            </w:r>
          </w:p>
        </w:tc>
        <w:tc>
          <w:tcPr>
            <w:tcW w:w="510.3" w:type="dxa"/>
            <w:vAlign w:val="center"/>
          </w:tcPr>
          <w:p>
            <w:pPr>
              <w:jc w:val="both"/>
              <w:pStyle w:val="CellColumn"/>
            </w:pPr>
            <w:r>
              <w:rPr>
                <w:rFonts w:hAnsi="Times New Roman" w:cs="Times New Roman"/>
              </w:rPr>
              <w:t xml:space="preserve">108,5</w:t>
            </w:r>
          </w:p>
        </w:tc>
      </w:tr>
    </w:tbl>
    <w:p>
      <w:pPr>
        <w:jc w:val="left"/>
      </w:pPr>
      <w:r>
        <w:rPr>
          <w:rFonts w:hAnsi="Times New Roman" w:cs="Times New Roman"/>
        </w:rPr>
        <w:t xml:space="preserve"/>
      </w:r>
    </w:p>
    <w:p>
      <w:pPr>
        <w:jc w:val="both"/>
        <w:pStyle w:val="Normal"/>
      </w:pPr>
      <w:r>
        <w:rPr>
          <w:rFonts w:hAnsi="Times New Roman" w:cs="Times New Roman"/>
        </w:rPr>
        <w:t xml:space="preserve">Zakonom o besplatnoj pravnoj pomoći uređuje se pružanje primarne i sekundarne pravne pomoći u građanskim i upravnim stvarima. Primarna pravna pomoć uključuje pravno savjetovanje i pravnu pomoć u postupcima pred javnopravnim tijelima i nju pružaju upravna tijela županija, odnosno Grada Zagreba, ovlaštene udruge te visoka učilišta putem pravnih klinika. Sekundarna pravna pomoć obuhvaća zastupanje u sudskim postupcima, oslobođenje od plaćanja troškova sudskog postupka i nju pružaju odvjetnici, tumači i vještaci. Planirana sredstva za 2025. iznose 1.250.000 €, a za 2026. i 2027. po 1.225.000 € godišnje (IF 11 i IF 41). Ministarstvo je u 2023. raspisalo natječaj za financiranje projekata za pružanje primarne pravne pomoći ovlaštenih udruga i visokih učilišta, u okviru sredstava koja su za tu godinu osigurana u financijskom planu (konto 3811 – izvori 11 i 41, konto 3691 – izvor 11). Natječajem je predviđeno trogodišnje financiranje projekata, s time da se za svaku godinu sklapa poseban ugovor. Za 2025. je predviđeno financiranje treće godine provedbe projekata. Za 2024. je ugovorena isplata za drugu godinu provedbe projekata u ukupnom iznosu 711.280,76 €. Plan je da se u trećoj godini, odnosno u 2025. za projekte pružanja primarne pravne pomoći isplati iznos na razini 2024. Isti iznos je planiran i za 2026. i 2027. Iznos naknada za rad odvjetnika, vještaka i tumača određuje se uredbom Vlade RH, na prijedlog Ministarstva, a planirane su na stavci 3237. Odvjetnicima se naknada isplaćuje nakon okončanja postupka u kojem je pružena pravna pomoć te mogu tražiti naplatu iz proračuna ako korisnik pravne pomoći nije uspio u sporu, jer u protivnom se može naplatiti od protivne stranke, a vještacima i tumačima nakon obavljenog vještačenja ili prevođenja u skladu s rješenjem suda o odmjeravanju troška. Osim toga, iz ove aktivnosti se plaćaju se i ostali troškovi sudskih postupaka: troškovi svjedoka, uviđaja i sudskih oglasa. Za 2025. sredstva za sekundarnu pravnu pomoć planirana su u iznosu od 455.000 €, pri čemu se najveći iznos odnosi na naknade odvjetnicima i vještacima. S obzirom na to da nije moguće predvidjeti točan broj podnesenih i odobrenih zahtjeva za odobravanje sekundarne pravne pomoći, koliko korisnika pravne pomoći će uspjeti u sporu, niti iznos naknade na koji će odvjetnik ili vještak imati pravo, jer to ovisi o broju pravnih radnji koje je poduzeo odvjetnik, odnosno rješenju suda o odmjeravanju troška vještaku, sredstva za sekundarnu pravnu pomoć uobičajeno se planiraju u visini izvršenja u prethodnom razdoblju. No, s obzirom na to da je prepoznata problematika nedovoljnog broja odvjetnika, u 2025. će se razmotrit povećanje iznosa naknade za odvjetnike, kako bi se osiguralo pravilno funkcioniranje sustava besplatne pravne pomoći.</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slučajeva pružene primarne pravne pomoći</w:t>
            </w:r>
          </w:p>
        </w:tc>
        <w:tc>
          <w:tcPr>
            <w:tcW w:w="2245.32" w:type="dxa"/>
            <w:vAlign w:val="center"/>
          </w:tcPr>
          <w:p>
            <w:pPr>
              <w:jc w:val="both"/>
              <w:pStyle w:val="CellColumn"/>
            </w:pPr>
            <w:r>
              <w:rPr>
                <w:rFonts w:hAnsi="Times New Roman" w:cs="Times New Roman"/>
              </w:rPr>
              <w:t xml:space="preserve">Povećanjem i održavanjem  broja pružene primarne pravne pomoći potvrđuje se da Republika Hrvatska osigurava svim građanima pravo na pristup sudu i drugim javnopravnim tijelima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29.128</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32.000</w:t>
            </w:r>
          </w:p>
        </w:tc>
        <w:tc>
          <w:tcPr>
            <w:tcW w:w="918.54" w:type="dxa"/>
            <w:vAlign w:val="center"/>
          </w:tcPr>
          <w:p>
            <w:pPr>
              <w:jc w:val="both"/>
              <w:pStyle w:val="CellColumn"/>
            </w:pPr>
            <w:r>
              <w:rPr>
                <w:rFonts w:hAnsi="Times New Roman" w:cs="Times New Roman"/>
              </w:rPr>
              <w:t xml:space="preserve">33.000</w:t>
            </w:r>
          </w:p>
        </w:tc>
        <w:tc>
          <w:tcPr>
            <w:tcW w:w="918.54" w:type="dxa"/>
            <w:vAlign w:val="center"/>
          </w:tcPr>
          <w:p>
            <w:pPr>
              <w:jc w:val="both"/>
              <w:pStyle w:val="CellColumn"/>
            </w:pPr>
            <w:r>
              <w:rPr>
                <w:rFonts w:hAnsi="Times New Roman" w:cs="Times New Roman"/>
              </w:rPr>
              <w:t xml:space="preserve">34.000</w:t>
            </w:r>
          </w:p>
        </w:tc>
      </w:tr>
      <w:tr>
        <w:trPr>
          <w:cantSplit/>
        </w:trPr>
        <w:tc>
          <w:tcPr>
            <w:tcW w:w="2245.32" w:type="dxa"/>
            <w:vAlign w:val="center"/>
          </w:tcPr>
          <w:p>
            <w:pPr>
              <w:jc w:val="both"/>
              <w:pStyle w:val="CellColumn"/>
            </w:pPr>
            <w:r>
              <w:rPr>
                <w:rFonts w:hAnsi="Times New Roman" w:cs="Times New Roman"/>
              </w:rPr>
              <w:t xml:space="preserve">Broj odobrenih zahtjeva za sekundarnu pravnu pomoć</w:t>
            </w:r>
          </w:p>
        </w:tc>
        <w:tc>
          <w:tcPr>
            <w:tcW w:w="2245.32" w:type="dxa"/>
            <w:vAlign w:val="center"/>
          </w:tcPr>
          <w:p>
            <w:pPr>
              <w:jc w:val="both"/>
              <w:pStyle w:val="CellColumn"/>
            </w:pPr>
            <w:r>
              <w:rPr>
                <w:rFonts w:hAnsi="Times New Roman" w:cs="Times New Roman"/>
              </w:rPr>
              <w:t xml:space="preserve">Održavanjem broja odobrenih zahtjeva za sekundarnu pravnu pomoć potvrđuje se da Republika Hrvatska osigurava svim građanima pravo na pristup sudu i drugim javnopravnim tijelima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2.524</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2.500</w:t>
            </w:r>
          </w:p>
        </w:tc>
        <w:tc>
          <w:tcPr>
            <w:tcW w:w="918.54" w:type="dxa"/>
            <w:vAlign w:val="center"/>
          </w:tcPr>
          <w:p>
            <w:pPr>
              <w:jc w:val="both"/>
              <w:pStyle w:val="CellColumn"/>
            </w:pPr>
            <w:r>
              <w:rPr>
                <w:rFonts w:hAnsi="Times New Roman" w:cs="Times New Roman"/>
              </w:rPr>
              <w:t xml:space="preserve">2.500</w:t>
            </w:r>
          </w:p>
        </w:tc>
        <w:tc>
          <w:tcPr>
            <w:tcW w:w="918.54" w:type="dxa"/>
            <w:vAlign w:val="center"/>
          </w:tcPr>
          <w:p>
            <w:pPr>
              <w:jc w:val="both"/>
              <w:pStyle w:val="CellColumn"/>
            </w:pPr>
            <w:r>
              <w:rPr>
                <w:rFonts w:hAnsi="Times New Roman" w:cs="Times New Roman"/>
              </w:rPr>
              <w:t xml:space="preserve">2.500</w:t>
            </w:r>
          </w:p>
        </w:tc>
      </w:tr>
    </w:tbl>
    <w:p>
      <w:pPr>
        <w:jc w:val="left"/>
      </w:pPr>
      <w:r>
        <w:rPr>
          <w:rFonts w:hAnsi="Times New Roman" w:cs="Times New Roman"/>
        </w:rPr>
        <w:t xml:space="preserve"/>
      </w:r>
    </w:p>
    <w:p>
      <w:pPr>
        <w:jc w:val="left"/>
        <w:pStyle w:val="Heading3"/>
      </w:pPr>
      <w:r>
        <w:rPr>
          <w:rFonts w:hAnsi="Times New Roman" w:cs="Times New Roman"/>
        </w:rPr>
        <w:t xml:space="preserve">2815 ZEMLJIŠNE KNJIGE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2815-ZEMLJIŠNE KNJIGE</w:t>
            </w:r>
          </w:p>
        </w:tc>
        <w:tc>
          <w:tcPr>
            <w:tcW w:w="1632.96" w:type="dxa"/>
            <w:vAlign w:val="center"/>
          </w:tcPr>
          <w:p>
            <w:pPr>
              <w:jc w:val="both"/>
              <w:pStyle w:val="CellColumn"/>
            </w:pPr>
            <w:r>
              <w:rPr>
                <w:rFonts w:hAnsi="Times New Roman" w:cs="Times New Roman"/>
              </w:rPr>
              <w:t xml:space="preserve">4.268.455</w:t>
            </w:r>
          </w:p>
        </w:tc>
        <w:tc>
          <w:tcPr>
            <w:tcW w:w="1632.96" w:type="dxa"/>
            <w:vAlign w:val="center"/>
          </w:tcPr>
          <w:p>
            <w:pPr>
              <w:jc w:val="both"/>
              <w:pStyle w:val="CellColumn"/>
            </w:pPr>
            <w:r>
              <w:rPr>
                <w:rFonts w:hAnsi="Times New Roman" w:cs="Times New Roman"/>
              </w:rPr>
              <w:t xml:space="preserve">1.532.565</w:t>
            </w:r>
          </w:p>
        </w:tc>
        <w:tc>
          <w:tcPr>
            <w:tcW w:w="1632.96" w:type="dxa"/>
            <w:vAlign w:val="center"/>
          </w:tcPr>
          <w:p>
            <w:pPr>
              <w:jc w:val="both"/>
              <w:pStyle w:val="CellColumn"/>
            </w:pPr>
            <w:r>
              <w:rPr>
                <w:rFonts w:hAnsi="Times New Roman" w:cs="Times New Roman"/>
              </w:rPr>
              <w:t xml:space="preserve">15.000.000</w:t>
            </w:r>
          </w:p>
        </w:tc>
        <w:tc>
          <w:tcPr>
            <w:tcW w:w="1632.96" w:type="dxa"/>
            <w:vAlign w:val="center"/>
          </w:tcPr>
          <w:p>
            <w:pPr>
              <w:jc w:val="both"/>
              <w:pStyle w:val="CellColumn"/>
            </w:pPr>
            <w:r>
              <w:rPr>
                <w:rFonts w:hAnsi="Times New Roman" w:cs="Times New Roman"/>
              </w:rPr>
              <w:t xml:space="preserve">15.000.000</w:t>
            </w:r>
          </w:p>
        </w:tc>
        <w:tc>
          <w:tcPr>
            <w:tcW w:w="1632.96" w:type="dxa"/>
            <w:vAlign w:val="center"/>
          </w:tcPr>
          <w:p>
            <w:pPr>
              <w:jc w:val="both"/>
              <w:pStyle w:val="CellColumn"/>
            </w:pPr>
            <w:r>
              <w:rPr>
                <w:rFonts w:hAnsi="Times New Roman" w:cs="Times New Roman"/>
              </w:rPr>
              <w:t xml:space="preserve">16.500.000</w:t>
            </w:r>
          </w:p>
        </w:tc>
        <w:tc>
          <w:tcPr>
            <w:tcW w:w="510.3" w:type="dxa"/>
            <w:vAlign w:val="center"/>
          </w:tcPr>
          <w:p>
            <w:pPr>
              <w:jc w:val="both"/>
              <w:pStyle w:val="CellColumn"/>
            </w:pPr>
            <w:r>
              <w:rPr>
                <w:rFonts w:hAnsi="Times New Roman" w:cs="Times New Roman"/>
              </w:rPr>
              <w:t xml:space="preserve">978,8</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učinkovitosti pravosuđa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Zadovoljstvo korisnika</w:t>
            </w:r>
          </w:p>
        </w:tc>
        <w:tc>
          <w:tcPr>
            <w:tcW w:w="2245.32" w:type="dxa"/>
            <w:vAlign w:val="center"/>
          </w:tcPr>
          <w:p>
            <w:pPr>
              <w:jc w:val="both"/>
              <w:pStyle w:val="CellColumn"/>
            </w:pPr>
            <w:r>
              <w:rPr>
                <w:rFonts w:hAnsi="Times New Roman" w:cs="Times New Roman"/>
              </w:rPr>
              <w:t xml:space="preserve">Veće zadovoljstvo korisnika uslugama zemljišne administracije</w:t>
            </w:r>
          </w:p>
        </w:tc>
        <w:tc>
          <w:tcPr>
            <w:tcW w:w="918.54" w:type="dxa"/>
            <w:vAlign w:val="center"/>
          </w:tcPr>
          <w:p>
            <w:pPr>
              <w:jc w:val="both"/>
              <w:pStyle w:val="CellColumn"/>
            </w:pPr>
            <w:r>
              <w:rPr>
                <w:rFonts w:hAnsi="Times New Roman" w:cs="Times New Roman"/>
              </w:rPr>
              <w:t xml:space="preserve">broj (ocjena korisnika)</w:t>
            </w:r>
          </w:p>
        </w:tc>
        <w:tc>
          <w:tcPr>
            <w:tcW w:w="918.54" w:type="dxa"/>
            <w:vAlign w:val="center"/>
          </w:tcPr>
          <w:p>
            <w:pPr>
              <w:jc w:val="both"/>
              <w:pStyle w:val="CellColumn"/>
            </w:pPr>
            <w:r>
              <w:rPr>
                <w:rFonts w:hAnsi="Times New Roman" w:cs="Times New Roman"/>
              </w:rPr>
              <w:t xml:space="preserve">4,1</w:t>
            </w:r>
          </w:p>
        </w:tc>
        <w:tc>
          <w:tcPr>
            <w:tcW w:w="918.54" w:type="dxa"/>
            <w:vAlign w:val="center"/>
          </w:tcPr>
          <w:p>
            <w:pPr>
              <w:jc w:val="both"/>
              <w:pStyle w:val="CellColumn"/>
            </w:pPr>
            <w:r>
              <w:rPr>
                <w:rFonts w:hAnsi="Times New Roman" w:cs="Times New Roman"/>
              </w:rPr>
              <w:t xml:space="preserve">ILAS</w:t>
            </w:r>
          </w:p>
        </w:tc>
        <w:tc>
          <w:tcPr>
            <w:tcW w:w="918.54" w:type="dxa"/>
            <w:vAlign w:val="center"/>
          </w:tcPr>
          <w:p>
            <w:pPr>
              <w:jc w:val="both"/>
              <w:pStyle w:val="CellColumn"/>
            </w:pPr>
            <w:r>
              <w:rPr>
                <w:rFonts w:hAnsi="Times New Roman" w:cs="Times New Roman"/>
              </w:rPr>
              <w:t xml:space="preserve">4,5</w:t>
            </w:r>
          </w:p>
        </w:tc>
        <w:tc>
          <w:tcPr>
            <w:tcW w:w="918.54" w:type="dxa"/>
            <w:vAlign w:val="center"/>
          </w:tcPr>
          <w:p>
            <w:pPr>
              <w:jc w:val="both"/>
              <w:pStyle w:val="CellColumn"/>
            </w:pPr>
            <w:r>
              <w:rPr>
                <w:rFonts w:hAnsi="Times New Roman" w:cs="Times New Roman"/>
              </w:rPr>
              <w:t xml:space="preserve">4,5</w:t>
            </w:r>
          </w:p>
        </w:tc>
        <w:tc>
          <w:tcPr>
            <w:tcW w:w="918.54" w:type="dxa"/>
            <w:vAlign w:val="center"/>
          </w:tcPr>
          <w:p>
            <w:pPr>
              <w:jc w:val="both"/>
              <w:pStyle w:val="CellColumn"/>
            </w:pPr>
            <w:r>
              <w:rPr>
                <w:rFonts w:hAnsi="Times New Roman" w:cs="Times New Roman"/>
              </w:rPr>
              <w:t xml:space="preserve">0</w:t>
            </w:r>
          </w:p>
        </w:tc>
      </w:tr>
    </w:tbl>
    <w:p>
      <w:pPr>
        <w:jc w:val="left"/>
      </w:pPr>
      <w:r>
        <w:rPr>
          <w:rFonts w:hAnsi="Times New Roman" w:cs="Times New Roman"/>
        </w:rPr>
        <w:t xml:space="preserve"/>
      </w:r>
    </w:p>
    <w:p>
      <w:pPr>
        <w:jc w:val="left"/>
        <w:pStyle w:val="Heading4"/>
      </w:pPr>
      <w:r>
        <w:rPr>
          <w:rFonts w:hAnsi="Times New Roman" w:cs="Times New Roman"/>
        </w:rPr>
        <w:t xml:space="preserve">K677029 PROJEKT INTEGRIRANIH USLUGA ZEMLJIŠNE ADMINISTRACIJE I PRAVOSUĐA (IBRD ZAJAM 9645-HR)</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Ugovor o zajmu između Republike Hrvatske i Međunarodne banke za obnovu i razvoj za Projekt integriranih usluga zemljišne administracije i pravosuđa (IBRD zajam 9645-HR), potpisan 25. lipnja 2024., Odluka Vlade Republike Hrvatske o pokretanju postupka za sklapanje Ugovora o zajmu između Republike Hrvatske i Međunarodne banke za obnovu i razvoj za Projekt integriranih usluga zemljišne administracije i pravosuđa, od 18. siječnja 2024., Zaključak Vlade Republike Hrvatske o prihvaćanju Izvješća o vođenim pregovorima za sklapanje Ugovora o zajmu između Republike Hrvatske i Međunarodne banke za obnovu i razvoj za Projekt integriranih usluga zemljišne administracije i pravosuđa od 15. veljače 2024.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K677029-PROJEKT INTEGRIRANIH USLUGA ZEMLJIŠNE ADMINISTRACIJE I PRAVOSUĐA (IBRD ZAJAM 9645-HR)</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910.000</w:t>
            </w:r>
          </w:p>
        </w:tc>
        <w:tc>
          <w:tcPr>
            <w:tcW w:w="1632.96" w:type="dxa"/>
            <w:vAlign w:val="center"/>
          </w:tcPr>
          <w:p>
            <w:pPr>
              <w:jc w:val="both"/>
              <w:pStyle w:val="CellColumn"/>
            </w:pPr>
            <w:r>
              <w:rPr>
                <w:rFonts w:hAnsi="Times New Roman" w:cs="Times New Roman"/>
              </w:rPr>
              <w:t xml:space="preserve">15.000.000</w:t>
            </w:r>
          </w:p>
        </w:tc>
        <w:tc>
          <w:tcPr>
            <w:tcW w:w="1632.96" w:type="dxa"/>
            <w:vAlign w:val="center"/>
          </w:tcPr>
          <w:p>
            <w:pPr>
              <w:jc w:val="both"/>
              <w:pStyle w:val="CellColumn"/>
            </w:pPr>
            <w:r>
              <w:rPr>
                <w:rFonts w:hAnsi="Times New Roman" w:cs="Times New Roman"/>
              </w:rPr>
              <w:t xml:space="preserve">15.000.000</w:t>
            </w:r>
          </w:p>
        </w:tc>
        <w:tc>
          <w:tcPr>
            <w:tcW w:w="1632.96" w:type="dxa"/>
            <w:vAlign w:val="center"/>
          </w:tcPr>
          <w:p>
            <w:pPr>
              <w:jc w:val="both"/>
              <w:pStyle w:val="CellColumn"/>
            </w:pPr>
            <w:r>
              <w:rPr>
                <w:rFonts w:hAnsi="Times New Roman" w:cs="Times New Roman"/>
              </w:rPr>
              <w:t xml:space="preserve">16.500.000</w:t>
            </w:r>
          </w:p>
        </w:tc>
        <w:tc>
          <w:tcPr>
            <w:tcW w:w="510.3" w:type="dxa"/>
            <w:vAlign w:val="center"/>
          </w:tcPr>
          <w:p>
            <w:pPr>
              <w:jc w:val="both"/>
              <w:pStyle w:val="CellColumn"/>
            </w:pPr>
            <w:r>
              <w:rPr>
                <w:rFonts w:hAnsi="Times New Roman" w:cs="Times New Roman"/>
              </w:rPr>
              <w:t xml:space="preserve">1648,4</w:t>
            </w:r>
          </w:p>
        </w:tc>
      </w:tr>
    </w:tbl>
    <w:p>
      <w:pPr>
        <w:jc w:val="left"/>
      </w:pPr>
      <w:r>
        <w:rPr>
          <w:rFonts w:hAnsi="Times New Roman" w:cs="Times New Roman"/>
        </w:rPr>
        <w:t xml:space="preserve"/>
      </w:r>
    </w:p>
    <w:p>
      <w:pPr>
        <w:jc w:val="both"/>
        <w:pStyle w:val="Normal"/>
      </w:pPr>
      <w:r>
        <w:rPr>
          <w:rFonts w:hAnsi="Times New Roman" w:cs="Times New Roman"/>
        </w:rPr>
        <w:t xml:space="preserve">Ugovor o zajmu između Republike Hrvatske i Međunarodne banke za obnovu i razvoj za Projekt integriranih usluga zemljišne administracije i pravosuđa (IBRD zajam 9645-HR) potpisan je 25. lipnja 2024., te je pokrenut postupak ratifikacije Ugovora o zajmu u Saboru Republike Hrvatske. Ugovor o zajmu je potpisan temeljem Odluke Vlade Republike Hrvatske o pokretanju postupka za sklapanje Ugovora o zajmu između Republike Hrvatske i Međunarodne banke za obnovu i razvoj za Projekt integriranih usluga zemljišne administracije i pravosuđa od 18. siječnja 2024., te Zaključka Vlade Republike Hrvatske o prihvaćanju Izvješća o vođenim pregovorima za sklapanje Ugovora o zajmu između Republike Hrvatske i Međunarodne banke za obnovu i razvoj za Projekt integriranih usluga zemljišne administracije i pravosuđa od 15. veljače 2024. Cilj Projekta integriranih usluga zemljišne administracije i pravosuđa je unaprijediti digitalne usluge i funkcionalnu integraciju zemljišne administracije i sudskih tijela. Projekt će pomoći maksimalno uvećati koristi od ranijih institucionalnih ulaganja u zemljišne knjige, katastar i sudove te će poduprijeti napredak Republike Hrvatske prema „sljedećoj generaciji“ reformi. Planirana sredstva za 2025. iznose 15.000.000 €, a odnose se na provedbu sljedećih aktivnosti:  Skeniranje i digitalizacija zemljišnih i sudskih podataka, Unapređenje e-usluga u sudovima i zemljišnim knjigama, IT podrška MPUDT u okviru novog projekta (ZKO), Tehnološko i funkcionalno unapređenje ZIS/OSS sustava - Faza 1, Tehnološko i funkcionalno unapređenje ZIS/OSS sustava - Faza 2, Kvaliteta podataka - Katastarske izmjere i obnova zemljišnih knjiga, Ulaganja u infrastrukturu (Bjelovar), Ulaganja u infrastrukturu (Velika Gorica), Ulaganja u infrastrukturu (Novska), Projektno upravljanje, revizija i operativni troškovi, Kampanja informiranja javnosti i Edukacijski programi (MPUDT/sudovi/DGU). Planirana sredstva za 2026. iznose 15.000.000 €, a odnose se na provedbu sljedećih aktivnosti: Skeniranje i digitalizacija zemljišnih i sudskih podataka, Unapređenje e-usluga u sudovima i zemljišnim knjigama, IT podrška MPUDT u okviru novog projekta (ZKO), Virtualni asistent, Tehnološko i funkcionalno unapređenje ZIS/OSS sustava - Faza 1, Tehnološko i funkcionalno unapređenje ZIS/OSS sustava - Faza 2, Kvaliteta podataka - Katastarske izmjere i obnova zemljišnih knjiga, Ulaganja u infrastrukturu (Rijeka), Ulaganja u infrastrukturu (Velika Gorica), Ulaganja u infrastrukturu (Novska), Projektno upravljanje, revizija i operativni troškovi, Istraživanje zadovoljstva korisnika i Edukacijski programi (MPUDT/sudovi/DGU). Planirana sredstva za 2027. iznose 16.500.000 €, a odnose se na provedbu sljedećih aktivnosti: Skeniranje i digitalizacija zemljišnih i sudskih podataka, Unapređenje e-usluga u sudovima i zemljišnim knjigama, IT podrška MPUDT u okviru novog projekta (ZKO), Virtualni asistent, Tehnološko i funkcionalno unapređenje ZIS/OSS sustava - Faza 1, Tehnološko i funkcionalno unapređenje ZIS/OSS sustava - Faza 2, Kvaliteta podataka - Katastarske izmjere i obnova zemljišnih knjiga, Ulaganja u infrastrukturu (Bjelovar), Ulaganja u infrastrukturu (Rijeka), Ulaganja u infrastrukturu (Velika Gorica), Ulaganja u infrastrukturu (Novska), Projektno upravljanje, revizija i operativni troškovi, Istraživanje zadovoljstva korisnika, Kampanja informiranja javnosti i Edukacijski programi (MPUDT/sudovi/DGU).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skeniranih/digitaliziranih stranica zemljišnoknjižnih podataka</w:t>
            </w:r>
          </w:p>
        </w:tc>
        <w:tc>
          <w:tcPr>
            <w:tcW w:w="2245.32" w:type="dxa"/>
            <w:vAlign w:val="center"/>
          </w:tcPr>
          <w:p>
            <w:pPr>
              <w:jc w:val="both"/>
              <w:pStyle w:val="CellColumn"/>
            </w:pPr>
            <w:r>
              <w:rPr>
                <w:rFonts w:hAnsi="Times New Roman" w:cs="Times New Roman"/>
              </w:rPr>
              <w:t xml:space="preserve">Digitalizirane stranice zemljišnoknjižnih podataka,  kumulativni zbroj</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42</w:t>
            </w:r>
          </w:p>
        </w:tc>
        <w:tc>
          <w:tcPr>
            <w:tcW w:w="918.54" w:type="dxa"/>
            <w:vAlign w:val="center"/>
          </w:tcPr>
          <w:p>
            <w:pPr>
              <w:jc w:val="both"/>
              <w:pStyle w:val="CellColumn"/>
            </w:pPr>
            <w:r>
              <w:rPr>
                <w:rFonts w:hAnsi="Times New Roman" w:cs="Times New Roman"/>
              </w:rPr>
              <w:t xml:space="preserve">Polugodišnje izvješće o provedbi projekta za VRH</w:t>
            </w:r>
          </w:p>
        </w:tc>
        <w:tc>
          <w:tcPr>
            <w:tcW w:w="918.54" w:type="dxa"/>
            <w:vAlign w:val="center"/>
          </w:tcPr>
          <w:p>
            <w:pPr>
              <w:jc w:val="both"/>
              <w:pStyle w:val="CellColumn"/>
            </w:pPr>
            <w:r>
              <w:rPr>
                <w:rFonts w:hAnsi="Times New Roman" w:cs="Times New Roman"/>
              </w:rPr>
              <w:t xml:space="preserve">42</w:t>
            </w:r>
          </w:p>
        </w:tc>
        <w:tc>
          <w:tcPr>
            <w:tcW w:w="918.54" w:type="dxa"/>
            <w:vAlign w:val="center"/>
          </w:tcPr>
          <w:p>
            <w:pPr>
              <w:jc w:val="both"/>
              <w:pStyle w:val="CellColumn"/>
            </w:pPr>
            <w:r>
              <w:rPr>
                <w:rFonts w:hAnsi="Times New Roman" w:cs="Times New Roman"/>
              </w:rPr>
              <w:t xml:space="preserve">45</w:t>
            </w:r>
          </w:p>
        </w:tc>
        <w:tc>
          <w:tcPr>
            <w:tcW w:w="918.54" w:type="dxa"/>
            <w:vAlign w:val="center"/>
          </w:tcPr>
          <w:p>
            <w:pPr>
              <w:jc w:val="both"/>
              <w:pStyle w:val="CellColumn"/>
            </w:pPr>
            <w:r>
              <w:rPr>
                <w:rFonts w:hAnsi="Times New Roman" w:cs="Times New Roman"/>
              </w:rPr>
              <w:t xml:space="preserve">50</w:t>
            </w:r>
          </w:p>
        </w:tc>
      </w:tr>
      <w:tr>
        <w:trPr>
          <w:cantSplit/>
        </w:trPr>
        <w:tc>
          <w:tcPr>
            <w:tcW w:w="2245.32" w:type="dxa"/>
            <w:vAlign w:val="center"/>
          </w:tcPr>
          <w:p>
            <w:pPr>
              <w:jc w:val="both"/>
              <w:pStyle w:val="CellColumn"/>
            </w:pPr>
            <w:r>
              <w:rPr>
                <w:rFonts w:hAnsi="Times New Roman" w:cs="Times New Roman"/>
              </w:rPr>
              <w:t xml:space="preserve">Broj sudova, zemljišnoknjižnih odjela i katastarskih ureda s integriranom infrastrukturom</w:t>
            </w:r>
          </w:p>
        </w:tc>
        <w:tc>
          <w:tcPr>
            <w:tcW w:w="2245.32" w:type="dxa"/>
            <w:vAlign w:val="center"/>
          </w:tcPr>
          <w:p>
            <w:pPr>
              <w:jc w:val="both"/>
              <w:pStyle w:val="CellColumn"/>
            </w:pPr>
            <w:r>
              <w:rPr>
                <w:rFonts w:hAnsi="Times New Roman" w:cs="Times New Roman"/>
              </w:rPr>
              <w:t xml:space="preserve">Sudovi, zemljišnoknjižni odjeli i katastarski uredi s integriranom infrastrukturom (pod istim krovom)</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Polugodišnje izvješće o provedbi projekta za VRH</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1</w:t>
            </w:r>
          </w:p>
        </w:tc>
        <w:tc>
          <w:tcPr>
            <w:tcW w:w="918.54" w:type="dxa"/>
            <w:vAlign w:val="center"/>
          </w:tcPr>
          <w:p>
            <w:pPr>
              <w:jc w:val="both"/>
              <w:pStyle w:val="CellColumn"/>
            </w:pPr>
            <w:r>
              <w:rPr>
                <w:rFonts w:hAnsi="Times New Roman" w:cs="Times New Roman"/>
              </w:rPr>
              <w:t xml:space="preserve">1</w:t>
            </w:r>
          </w:p>
        </w:tc>
      </w:tr>
    </w:tbl>
    <w:p>
      <w:pPr>
        <w:jc w:val="left"/>
      </w:pPr>
      <w:r>
        <w:rPr>
          <w:rFonts w:hAnsi="Times New Roman" w:cs="Times New Roman"/>
        </w:rPr>
        <w:t xml:space="preserve"/>
      </w:r>
    </w:p>
    <w:p>
      <w:pPr>
        <w:jc w:val="left"/>
        <w:pStyle w:val="Heading2"/>
      </w:pPr>
      <w:r>
        <w:rPr>
          <w:rFonts w:hAnsi="Times New Roman" w:cs="Times New Roman"/>
        </w:rPr>
        <w:t xml:space="preserve">10910 Pravosudna akademija</w:t>
      </w:r>
    </w:p>
    <w:p>
      <w:pPr>
        <w:jc w:val="both"/>
        <w:pStyle w:val="Normal3"/>
      </w:pPr>
      <w:r>
        <w:rPr>
          <w:rFonts w:hAnsi="Times New Roman" w:cs="Times New Roman"/>
        </w:rPr>
        <w:t xml:space="preserve">Pravosudna akademija je od 1. siječnja 2010. javna ustanova kojoj je jedan od ciljeva omogućiti uvjete za provedbu inicijalnih programa za vježbenike u pravosudnim tijelima i za kandidate za suce i zamjenike državnih odvjetnika (program Državna škola za pravosudne dužnosnike) te omogućiti stalno stručno usavršavanje pravosudnih dužnosnika i savjetnika u pravosudnim tijelima i drugih službenika iz područja pravosuđa.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10910-Pravosudna akademija</w:t>
            </w:r>
          </w:p>
        </w:tc>
        <w:tc>
          <w:tcPr>
            <w:tcW w:w="1632.96" w:type="dxa"/>
            <w:vAlign w:val="center"/>
          </w:tcPr>
          <w:p>
            <w:pPr>
              <w:jc w:val="both"/>
              <w:pStyle w:val="CellColumn"/>
            </w:pPr>
            <w:r>
              <w:rPr>
                <w:rFonts w:hAnsi="Times New Roman" w:cs="Times New Roman"/>
              </w:rPr>
              <w:t xml:space="preserve">1.479.542</w:t>
            </w:r>
          </w:p>
        </w:tc>
        <w:tc>
          <w:tcPr>
            <w:tcW w:w="1632.96" w:type="dxa"/>
            <w:vAlign w:val="center"/>
          </w:tcPr>
          <w:p>
            <w:pPr>
              <w:jc w:val="both"/>
              <w:pStyle w:val="CellColumn"/>
            </w:pPr>
            <w:r>
              <w:rPr>
                <w:rFonts w:hAnsi="Times New Roman" w:cs="Times New Roman"/>
              </w:rPr>
              <w:t xml:space="preserve">2.054.849</w:t>
            </w:r>
          </w:p>
        </w:tc>
        <w:tc>
          <w:tcPr>
            <w:tcW w:w="1632.96" w:type="dxa"/>
            <w:vAlign w:val="center"/>
          </w:tcPr>
          <w:p>
            <w:pPr>
              <w:jc w:val="both"/>
              <w:pStyle w:val="CellColumn"/>
            </w:pPr>
            <w:r>
              <w:rPr>
                <w:rFonts w:hAnsi="Times New Roman" w:cs="Times New Roman"/>
              </w:rPr>
              <w:t xml:space="preserve">2.041.950</w:t>
            </w:r>
          </w:p>
        </w:tc>
        <w:tc>
          <w:tcPr>
            <w:tcW w:w="1632.96" w:type="dxa"/>
            <w:vAlign w:val="center"/>
          </w:tcPr>
          <w:p>
            <w:pPr>
              <w:jc w:val="both"/>
              <w:pStyle w:val="CellColumn"/>
            </w:pPr>
            <w:r>
              <w:rPr>
                <w:rFonts w:hAnsi="Times New Roman" w:cs="Times New Roman"/>
              </w:rPr>
              <w:t xml:space="preserve">2.084.230</w:t>
            </w:r>
          </w:p>
        </w:tc>
        <w:tc>
          <w:tcPr>
            <w:tcW w:w="1632.96" w:type="dxa"/>
            <w:vAlign w:val="center"/>
          </w:tcPr>
          <w:p>
            <w:pPr>
              <w:jc w:val="both"/>
              <w:pStyle w:val="CellColumn"/>
            </w:pPr>
            <w:r>
              <w:rPr>
                <w:rFonts w:hAnsi="Times New Roman" w:cs="Times New Roman"/>
              </w:rPr>
              <w:t xml:space="preserve">2.109.330</w:t>
            </w:r>
          </w:p>
        </w:tc>
        <w:tc>
          <w:tcPr>
            <w:tcW w:w="510.3" w:type="dxa"/>
            <w:vAlign w:val="center"/>
          </w:tcPr>
          <w:p>
            <w:pPr>
              <w:jc w:val="both"/>
              <w:pStyle w:val="CellColumn"/>
            </w:pPr>
            <w:r>
              <w:rPr>
                <w:rFonts w:hAnsi="Times New Roman" w:cs="Times New Roman"/>
              </w:rPr>
              <w:t xml:space="preserve">99,4</w:t>
            </w:r>
          </w:p>
        </w:tc>
      </w:tr>
    </w:tbl>
    <w:p>
      <w:pPr>
        <w:jc w:val="left"/>
      </w:pPr>
      <w:r>
        <w:rPr>
          <w:rFonts w:hAnsi="Times New Roman" w:cs="Times New Roman"/>
        </w:rPr>
        <w:t xml:space="preserve"/>
      </w:r>
    </w:p>
    <w:p>
      <w:pPr>
        <w:jc w:val="left"/>
        <w:pStyle w:val="Heading3"/>
      </w:pPr>
      <w:r>
        <w:rPr>
          <w:rFonts w:hAnsi="Times New Roman" w:cs="Times New Roman"/>
        </w:rPr>
        <w:t xml:space="preserve">2804 EDUKACIJA I INFORMIRANJE U PRAVOSUDNOM SUSTAVU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2804-EDUKACIJA I INFORMIRANJE U PRAVOSUDNOM SUSTAVU</w:t>
            </w:r>
          </w:p>
        </w:tc>
        <w:tc>
          <w:tcPr>
            <w:tcW w:w="1632.96" w:type="dxa"/>
            <w:vAlign w:val="center"/>
          </w:tcPr>
          <w:p>
            <w:pPr>
              <w:jc w:val="both"/>
              <w:pStyle w:val="CellColumn"/>
            </w:pPr>
            <w:r>
              <w:rPr>
                <w:rFonts w:hAnsi="Times New Roman" w:cs="Times New Roman"/>
              </w:rPr>
              <w:t xml:space="preserve">1.479.542</w:t>
            </w:r>
          </w:p>
        </w:tc>
        <w:tc>
          <w:tcPr>
            <w:tcW w:w="1632.96" w:type="dxa"/>
            <w:vAlign w:val="center"/>
          </w:tcPr>
          <w:p>
            <w:pPr>
              <w:jc w:val="both"/>
              <w:pStyle w:val="CellColumn"/>
            </w:pPr>
            <w:r>
              <w:rPr>
                <w:rFonts w:hAnsi="Times New Roman" w:cs="Times New Roman"/>
              </w:rPr>
              <w:t xml:space="preserve">2.054.849</w:t>
            </w:r>
          </w:p>
        </w:tc>
        <w:tc>
          <w:tcPr>
            <w:tcW w:w="1632.96" w:type="dxa"/>
            <w:vAlign w:val="center"/>
          </w:tcPr>
          <w:p>
            <w:pPr>
              <w:jc w:val="both"/>
              <w:pStyle w:val="CellColumn"/>
            </w:pPr>
            <w:r>
              <w:rPr>
                <w:rFonts w:hAnsi="Times New Roman" w:cs="Times New Roman"/>
              </w:rPr>
              <w:t xml:space="preserve">2.041.950</w:t>
            </w:r>
          </w:p>
        </w:tc>
        <w:tc>
          <w:tcPr>
            <w:tcW w:w="1632.96" w:type="dxa"/>
            <w:vAlign w:val="center"/>
          </w:tcPr>
          <w:p>
            <w:pPr>
              <w:jc w:val="both"/>
              <w:pStyle w:val="CellColumn"/>
            </w:pPr>
            <w:r>
              <w:rPr>
                <w:rFonts w:hAnsi="Times New Roman" w:cs="Times New Roman"/>
              </w:rPr>
              <w:t xml:space="preserve">2.084.230</w:t>
            </w:r>
          </w:p>
        </w:tc>
        <w:tc>
          <w:tcPr>
            <w:tcW w:w="1632.96" w:type="dxa"/>
            <w:vAlign w:val="center"/>
          </w:tcPr>
          <w:p>
            <w:pPr>
              <w:jc w:val="both"/>
              <w:pStyle w:val="CellColumn"/>
            </w:pPr>
            <w:r>
              <w:rPr>
                <w:rFonts w:hAnsi="Times New Roman" w:cs="Times New Roman"/>
              </w:rPr>
              <w:t xml:space="preserve">2.109.330</w:t>
            </w:r>
          </w:p>
        </w:tc>
        <w:tc>
          <w:tcPr>
            <w:tcW w:w="510.3" w:type="dxa"/>
            <w:vAlign w:val="center"/>
          </w:tcPr>
          <w:p>
            <w:pPr>
              <w:jc w:val="both"/>
              <w:pStyle w:val="CellColumn"/>
            </w:pPr>
            <w:r>
              <w:rPr>
                <w:rFonts w:hAnsi="Times New Roman" w:cs="Times New Roman"/>
              </w:rPr>
              <w:t xml:space="preserve">99,4</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profesionalizma i stručnosti u pravosuđu</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programa edukaciju u organizaciji Pravosudne akademije</w:t>
            </w:r>
          </w:p>
        </w:tc>
        <w:tc>
          <w:tcPr>
            <w:tcW w:w="2245.32" w:type="dxa"/>
            <w:vAlign w:val="center"/>
          </w:tcPr>
          <w:p>
            <w:pPr>
              <w:jc w:val="both"/>
              <w:pStyle w:val="CellColumn"/>
            </w:pPr>
            <w:r>
              <w:rPr>
                <w:rFonts w:hAnsi="Times New Roman" w:cs="Times New Roman"/>
              </w:rPr>
              <w:t xml:space="preserve">Jačanje profesionalizma kroz programe edukacije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PA</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A629024 STRUČNO USAVRŠAVANJE PRAVOSUDNIH DUŽNOSNIKA I SAVJETNIKA U PRAVOSUDNIM TIJELIMA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Pravosudnoj akademiji čl. 4. i čl. 32.</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A629024-STRUČNO USAVRŠAVANJE PRAVOSUDNIH DUŽNOSNIKA I SAVJETNIKA U PRAVOSUDNIM TIJELIMA</w:t>
            </w:r>
          </w:p>
        </w:tc>
        <w:tc>
          <w:tcPr>
            <w:tcW w:w="1632.96" w:type="dxa"/>
            <w:vAlign w:val="center"/>
          </w:tcPr>
          <w:p>
            <w:pPr>
              <w:jc w:val="both"/>
              <w:pStyle w:val="CellColumn"/>
            </w:pPr>
            <w:r>
              <w:rPr>
                <w:rFonts w:hAnsi="Times New Roman" w:cs="Times New Roman"/>
              </w:rPr>
              <w:t xml:space="preserve">429.616</w:t>
            </w:r>
          </w:p>
        </w:tc>
        <w:tc>
          <w:tcPr>
            <w:tcW w:w="1632.96" w:type="dxa"/>
            <w:vAlign w:val="center"/>
          </w:tcPr>
          <w:p>
            <w:pPr>
              <w:jc w:val="both"/>
              <w:pStyle w:val="CellColumn"/>
            </w:pPr>
            <w:r>
              <w:rPr>
                <w:rFonts w:hAnsi="Times New Roman" w:cs="Times New Roman"/>
              </w:rPr>
              <w:t xml:space="preserve">533.877</w:t>
            </w:r>
          </w:p>
        </w:tc>
        <w:tc>
          <w:tcPr>
            <w:tcW w:w="1632.96" w:type="dxa"/>
            <w:vAlign w:val="center"/>
          </w:tcPr>
          <w:p>
            <w:pPr>
              <w:jc w:val="both"/>
              <w:pStyle w:val="CellColumn"/>
            </w:pPr>
            <w:r>
              <w:rPr>
                <w:rFonts w:hAnsi="Times New Roman" w:cs="Times New Roman"/>
              </w:rPr>
              <w:t xml:space="preserve">425.500</w:t>
            </w:r>
          </w:p>
        </w:tc>
        <w:tc>
          <w:tcPr>
            <w:tcW w:w="1632.96" w:type="dxa"/>
            <w:vAlign w:val="center"/>
          </w:tcPr>
          <w:p>
            <w:pPr>
              <w:jc w:val="both"/>
              <w:pStyle w:val="CellColumn"/>
            </w:pPr>
            <w:r>
              <w:rPr>
                <w:rFonts w:hAnsi="Times New Roman" w:cs="Times New Roman"/>
              </w:rPr>
              <w:t xml:space="preserve">471.500</w:t>
            </w:r>
          </w:p>
        </w:tc>
        <w:tc>
          <w:tcPr>
            <w:tcW w:w="1632.96" w:type="dxa"/>
            <w:vAlign w:val="center"/>
          </w:tcPr>
          <w:p>
            <w:pPr>
              <w:jc w:val="both"/>
              <w:pStyle w:val="CellColumn"/>
            </w:pPr>
            <w:r>
              <w:rPr>
                <w:rFonts w:hAnsi="Times New Roman" w:cs="Times New Roman"/>
              </w:rPr>
              <w:t xml:space="preserve">479.000</w:t>
            </w:r>
          </w:p>
        </w:tc>
        <w:tc>
          <w:tcPr>
            <w:tcW w:w="510.3" w:type="dxa"/>
            <w:vAlign w:val="center"/>
          </w:tcPr>
          <w:p>
            <w:pPr>
              <w:jc w:val="both"/>
              <w:pStyle w:val="CellColumn"/>
            </w:pPr>
            <w:r>
              <w:rPr>
                <w:rFonts w:hAnsi="Times New Roman" w:cs="Times New Roman"/>
              </w:rPr>
              <w:t xml:space="preserve">79,7</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su namijenjena provedbi programa kontinuiranog  stručnog usavršavanja pravosudnih dužnosnika i savjetnika u pravosudnim tijelima te razvoju novih obrazovnih materijala za potrebe stručnog usavršavanja. Kroz programsku ponudu uvedeno je i učenje na daljinu, čime je određeni broj modula postao dostupan svim ciljnim skupinama Akademije, međutim, održavanje najvećeg broja radionica direktno u kontaktu s polaznicima je puno kvalitetnija opcija u odnosu na on-line predavanja. Ukupno planirana sredstava na izvoru financiranja 11 iznose 419.000 € za 2025., 465.000 € za 2026. te 475.000 € za 2027. Od ukupno planiranih sredstava najveći dio u iznosu 325.000 € u 2025. i 2026. odnosno 335.000 € u 2027. se odnosi na honorare autorima obrazovnih materijala i predavačima.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održanih radionica Pravosudne Akademije</w:t>
            </w:r>
          </w:p>
        </w:tc>
        <w:tc>
          <w:tcPr>
            <w:tcW w:w="2245.32" w:type="dxa"/>
            <w:vAlign w:val="center"/>
          </w:tcPr>
          <w:p>
            <w:pPr>
              <w:jc w:val="both"/>
              <w:pStyle w:val="CellColumn"/>
            </w:pPr>
            <w:r>
              <w:rPr>
                <w:rFonts w:hAnsi="Times New Roman" w:cs="Times New Roman"/>
              </w:rPr>
              <w:t xml:space="preserve">Održavanjem ciljanih stručnih radionica jačaju se preduvjeti za kontinuirano stručno usavršavanje pravosudnih dužnosnika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480</w:t>
            </w:r>
          </w:p>
        </w:tc>
        <w:tc>
          <w:tcPr>
            <w:tcW w:w="918.54" w:type="dxa"/>
            <w:vAlign w:val="center"/>
          </w:tcPr>
          <w:p>
            <w:pPr>
              <w:jc w:val="both"/>
              <w:pStyle w:val="CellColumn"/>
            </w:pPr>
            <w:r>
              <w:rPr>
                <w:rFonts w:hAnsi="Times New Roman" w:cs="Times New Roman"/>
              </w:rPr>
              <w:t xml:space="preserve">PA</w:t>
            </w:r>
          </w:p>
        </w:tc>
        <w:tc>
          <w:tcPr>
            <w:tcW w:w="918.54" w:type="dxa"/>
            <w:vAlign w:val="center"/>
          </w:tcPr>
          <w:p>
            <w:pPr>
              <w:jc w:val="both"/>
              <w:pStyle w:val="CellColumn"/>
            </w:pPr>
            <w:r>
              <w:rPr>
                <w:rFonts w:hAnsi="Times New Roman" w:cs="Times New Roman"/>
              </w:rPr>
              <w:t xml:space="preserve">480</w:t>
            </w:r>
          </w:p>
        </w:tc>
        <w:tc>
          <w:tcPr>
            <w:tcW w:w="918.54" w:type="dxa"/>
            <w:vAlign w:val="center"/>
          </w:tcPr>
          <w:p>
            <w:pPr>
              <w:jc w:val="both"/>
              <w:pStyle w:val="CellColumn"/>
            </w:pPr>
            <w:r>
              <w:rPr>
                <w:rFonts w:hAnsi="Times New Roman" w:cs="Times New Roman"/>
              </w:rPr>
              <w:t xml:space="preserve">480</w:t>
            </w:r>
          </w:p>
        </w:tc>
        <w:tc>
          <w:tcPr>
            <w:tcW w:w="918.54" w:type="dxa"/>
            <w:vAlign w:val="center"/>
          </w:tcPr>
          <w:p>
            <w:pPr>
              <w:jc w:val="both"/>
              <w:pStyle w:val="CellColumn"/>
            </w:pPr>
            <w:r>
              <w:rPr>
                <w:rFonts w:hAnsi="Times New Roman" w:cs="Times New Roman"/>
              </w:rPr>
              <w:t xml:space="preserve">480</w:t>
            </w:r>
          </w:p>
        </w:tc>
      </w:tr>
    </w:tbl>
    <w:p>
      <w:pPr>
        <w:jc w:val="left"/>
      </w:pPr>
      <w:r>
        <w:rPr>
          <w:rFonts w:hAnsi="Times New Roman" w:cs="Times New Roman"/>
        </w:rPr>
        <w:t xml:space="preserve"/>
      </w:r>
    </w:p>
    <w:p>
      <w:pPr>
        <w:jc w:val="left"/>
        <w:pStyle w:val="Heading4"/>
      </w:pPr>
      <w:r>
        <w:rPr>
          <w:rFonts w:hAnsi="Times New Roman" w:cs="Times New Roman"/>
        </w:rPr>
        <w:t xml:space="preserve">A630051 IZBOR I OBUKA VJEŽBENIKA U PRAVOSUDNIM TIJELIMA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Pravosudnoj akademiji (čl. 4.), Zakon o vježbenicima u pravosudnim tijelima i pravosudnom ispitu, Pravilnik o stručnom obrazovanju vježbenika u pravosudnim tijelima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A630051-IZBOR I OBUKA VJEŽBENIKA U PRAVOSUDNIM TIJELIMA RH</w:t>
            </w:r>
          </w:p>
        </w:tc>
        <w:tc>
          <w:tcPr>
            <w:tcW w:w="1632.96" w:type="dxa"/>
            <w:vAlign w:val="center"/>
          </w:tcPr>
          <w:p>
            <w:pPr>
              <w:jc w:val="both"/>
              <w:pStyle w:val="CellColumn"/>
            </w:pPr>
            <w:r>
              <w:rPr>
                <w:rFonts w:hAnsi="Times New Roman" w:cs="Times New Roman"/>
              </w:rPr>
              <w:t xml:space="preserve">90.520</w:t>
            </w:r>
          </w:p>
        </w:tc>
        <w:tc>
          <w:tcPr>
            <w:tcW w:w="1632.96" w:type="dxa"/>
            <w:vAlign w:val="center"/>
          </w:tcPr>
          <w:p>
            <w:pPr>
              <w:jc w:val="both"/>
              <w:pStyle w:val="CellColumn"/>
            </w:pPr>
            <w:r>
              <w:rPr>
                <w:rFonts w:hAnsi="Times New Roman" w:cs="Times New Roman"/>
              </w:rPr>
              <w:t xml:space="preserve">78.000</w:t>
            </w:r>
          </w:p>
        </w:tc>
        <w:tc>
          <w:tcPr>
            <w:tcW w:w="1632.96" w:type="dxa"/>
            <w:vAlign w:val="center"/>
          </w:tcPr>
          <w:p>
            <w:pPr>
              <w:jc w:val="both"/>
              <w:pStyle w:val="CellColumn"/>
            </w:pPr>
            <w:r>
              <w:rPr>
                <w:rFonts w:hAnsi="Times New Roman" w:cs="Times New Roman"/>
              </w:rPr>
              <w:t xml:space="preserve">202.000</w:t>
            </w:r>
          </w:p>
        </w:tc>
        <w:tc>
          <w:tcPr>
            <w:tcW w:w="1632.96" w:type="dxa"/>
            <w:vAlign w:val="center"/>
          </w:tcPr>
          <w:p>
            <w:pPr>
              <w:jc w:val="both"/>
              <w:pStyle w:val="CellColumn"/>
            </w:pPr>
            <w:r>
              <w:rPr>
                <w:rFonts w:hAnsi="Times New Roman" w:cs="Times New Roman"/>
              </w:rPr>
              <w:t xml:space="preserve">249.000</w:t>
            </w:r>
          </w:p>
        </w:tc>
        <w:tc>
          <w:tcPr>
            <w:tcW w:w="1632.96" w:type="dxa"/>
            <w:vAlign w:val="center"/>
          </w:tcPr>
          <w:p>
            <w:pPr>
              <w:jc w:val="both"/>
              <w:pStyle w:val="CellColumn"/>
            </w:pPr>
            <w:r>
              <w:rPr>
                <w:rFonts w:hAnsi="Times New Roman" w:cs="Times New Roman"/>
              </w:rPr>
              <w:t xml:space="preserve">264.000</w:t>
            </w:r>
          </w:p>
        </w:tc>
        <w:tc>
          <w:tcPr>
            <w:tcW w:w="510.3" w:type="dxa"/>
            <w:vAlign w:val="center"/>
          </w:tcPr>
          <w:p>
            <w:pPr>
              <w:jc w:val="both"/>
              <w:pStyle w:val="CellColumn"/>
            </w:pPr>
            <w:r>
              <w:rPr>
                <w:rFonts w:hAnsi="Times New Roman" w:cs="Times New Roman"/>
              </w:rPr>
              <w:t xml:space="preserve">259,0</w:t>
            </w:r>
          </w:p>
        </w:tc>
      </w:tr>
    </w:tbl>
    <w:p>
      <w:pPr>
        <w:jc w:val="left"/>
      </w:pPr>
      <w:r>
        <w:rPr>
          <w:rFonts w:hAnsi="Times New Roman" w:cs="Times New Roman"/>
        </w:rPr>
        <w:t xml:space="preserve"/>
      </w:r>
    </w:p>
    <w:p>
      <w:pPr>
        <w:jc w:val="both"/>
        <w:pStyle w:val="Normal"/>
      </w:pPr>
      <w:r>
        <w:rPr>
          <w:rFonts w:hAnsi="Times New Roman" w:cs="Times New Roman"/>
        </w:rPr>
        <w:t xml:space="preserve">Sredstva planirana u okviru ove aktivnosti odnose se na provedbu edukacije za sudačke i državno odvjetničke vježbenike (diplomirani pravnici koji nisu položili pravosudni ispit) sukladno Programu stručnog usavršavanja za vježbenike u pravosudnim tijelima. Planirana sredstva za 2025. iznose 202.000 €, za 2026. 249.000 € i za 2027. 264.000 €, od čega se najveći dio odnosi na podmirenje troškova službenih putovanja predavačima i polaznicima edukacija te na dnevnice za polaznike, jer je Pravilnikom o pristupu stručnom usavršavanju u Pravosudnoj akademiji predviđeno da Pravosudna akademija podmiruje navedene troškove.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edukacija</w:t>
            </w:r>
          </w:p>
        </w:tc>
        <w:tc>
          <w:tcPr>
            <w:tcW w:w="2245.32" w:type="dxa"/>
            <w:vAlign w:val="center"/>
          </w:tcPr>
          <w:p>
            <w:pPr>
              <w:jc w:val="both"/>
              <w:pStyle w:val="CellColumn"/>
            </w:pPr>
            <w:r>
              <w:rPr>
                <w:rFonts w:hAnsi="Times New Roman" w:cs="Times New Roman"/>
              </w:rPr>
              <w:t xml:space="preserve">Edukacije prema novom Programu za obuku vježbenika u pravosudnim tijelima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36</w:t>
            </w:r>
          </w:p>
        </w:tc>
        <w:tc>
          <w:tcPr>
            <w:tcW w:w="918.54" w:type="dxa"/>
            <w:vAlign w:val="center"/>
          </w:tcPr>
          <w:p>
            <w:pPr>
              <w:jc w:val="both"/>
              <w:pStyle w:val="CellColumn"/>
            </w:pPr>
            <w:r>
              <w:rPr>
                <w:rFonts w:hAnsi="Times New Roman" w:cs="Times New Roman"/>
              </w:rPr>
              <w:t xml:space="preserve">Baza podataka polaznika i voditelja</w:t>
            </w:r>
          </w:p>
        </w:tc>
        <w:tc>
          <w:tcPr>
            <w:tcW w:w="918.54" w:type="dxa"/>
            <w:vAlign w:val="center"/>
          </w:tcPr>
          <w:p>
            <w:pPr>
              <w:jc w:val="both"/>
              <w:pStyle w:val="CellColumn"/>
            </w:pPr>
            <w:r>
              <w:rPr>
                <w:rFonts w:hAnsi="Times New Roman" w:cs="Times New Roman"/>
              </w:rPr>
              <w:t xml:space="preserve">36</w:t>
            </w:r>
          </w:p>
        </w:tc>
        <w:tc>
          <w:tcPr>
            <w:tcW w:w="918.54" w:type="dxa"/>
            <w:vAlign w:val="center"/>
          </w:tcPr>
          <w:p>
            <w:pPr>
              <w:jc w:val="both"/>
              <w:pStyle w:val="CellColumn"/>
            </w:pPr>
            <w:r>
              <w:rPr>
                <w:rFonts w:hAnsi="Times New Roman" w:cs="Times New Roman"/>
              </w:rPr>
              <w:t xml:space="preserve">35</w:t>
            </w:r>
          </w:p>
        </w:tc>
        <w:tc>
          <w:tcPr>
            <w:tcW w:w="918.54" w:type="dxa"/>
            <w:vAlign w:val="center"/>
          </w:tcPr>
          <w:p>
            <w:pPr>
              <w:jc w:val="both"/>
              <w:pStyle w:val="CellColumn"/>
            </w:pPr>
            <w:r>
              <w:rPr>
                <w:rFonts w:hAnsi="Times New Roman" w:cs="Times New Roman"/>
              </w:rPr>
              <w:t xml:space="preserve">35</w:t>
            </w:r>
          </w:p>
        </w:tc>
      </w:tr>
    </w:tbl>
    <w:p>
      <w:pPr>
        <w:jc w:val="left"/>
      </w:pPr>
      <w:r>
        <w:rPr>
          <w:rFonts w:hAnsi="Times New Roman" w:cs="Times New Roman"/>
        </w:rPr>
        <w:t xml:space="preserve"/>
      </w:r>
    </w:p>
    <w:p>
      <w:pPr>
        <w:jc w:val="left"/>
        <w:pStyle w:val="Heading4"/>
      </w:pPr>
      <w:r>
        <w:rPr>
          <w:rFonts w:hAnsi="Times New Roman" w:cs="Times New Roman"/>
        </w:rPr>
        <w:t xml:space="preserve">A844001 ADMINISTRACIJA I UPRAVLJANJE PRAVOSUDNE AKADEMIJE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Pravosudnoj akademiji (čl. 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A844001-ADMINISTRACIJA I UPRAVLJANJE PRAVOSUDNE AKADEMIJE</w:t>
            </w:r>
          </w:p>
        </w:tc>
        <w:tc>
          <w:tcPr>
            <w:tcW w:w="1632.96" w:type="dxa"/>
            <w:vAlign w:val="center"/>
          </w:tcPr>
          <w:p>
            <w:pPr>
              <w:jc w:val="both"/>
              <w:pStyle w:val="CellColumn"/>
            </w:pPr>
            <w:r>
              <w:rPr>
                <w:rFonts w:hAnsi="Times New Roman" w:cs="Times New Roman"/>
              </w:rPr>
              <w:t xml:space="preserve">655.097</w:t>
            </w:r>
          </w:p>
        </w:tc>
        <w:tc>
          <w:tcPr>
            <w:tcW w:w="1632.96" w:type="dxa"/>
            <w:vAlign w:val="center"/>
          </w:tcPr>
          <w:p>
            <w:pPr>
              <w:jc w:val="both"/>
              <w:pStyle w:val="CellColumn"/>
            </w:pPr>
            <w:r>
              <w:rPr>
                <w:rFonts w:hAnsi="Times New Roman" w:cs="Times New Roman"/>
              </w:rPr>
              <w:t xml:space="preserve">949.772</w:t>
            </w:r>
          </w:p>
        </w:tc>
        <w:tc>
          <w:tcPr>
            <w:tcW w:w="1632.96" w:type="dxa"/>
            <w:vAlign w:val="center"/>
          </w:tcPr>
          <w:p>
            <w:pPr>
              <w:jc w:val="both"/>
              <w:pStyle w:val="CellColumn"/>
            </w:pPr>
            <w:r>
              <w:rPr>
                <w:rFonts w:hAnsi="Times New Roman" w:cs="Times New Roman"/>
              </w:rPr>
              <w:t xml:space="preserve">1.096.450</w:t>
            </w:r>
          </w:p>
        </w:tc>
        <w:tc>
          <w:tcPr>
            <w:tcW w:w="1632.96" w:type="dxa"/>
            <w:vAlign w:val="center"/>
          </w:tcPr>
          <w:p>
            <w:pPr>
              <w:jc w:val="both"/>
              <w:pStyle w:val="CellColumn"/>
            </w:pPr>
            <w:r>
              <w:rPr>
                <w:rFonts w:hAnsi="Times New Roman" w:cs="Times New Roman"/>
              </w:rPr>
              <w:t xml:space="preserve">1.033.230</w:t>
            </w:r>
          </w:p>
        </w:tc>
        <w:tc>
          <w:tcPr>
            <w:tcW w:w="1632.96" w:type="dxa"/>
            <w:vAlign w:val="center"/>
          </w:tcPr>
          <w:p>
            <w:pPr>
              <w:jc w:val="both"/>
              <w:pStyle w:val="CellColumn"/>
            </w:pPr>
            <w:r>
              <w:rPr>
                <w:rFonts w:hAnsi="Times New Roman" w:cs="Times New Roman"/>
              </w:rPr>
              <w:t xml:space="preserve">1.043.330</w:t>
            </w:r>
          </w:p>
        </w:tc>
        <w:tc>
          <w:tcPr>
            <w:tcW w:w="510.3" w:type="dxa"/>
            <w:vAlign w:val="center"/>
          </w:tcPr>
          <w:p>
            <w:pPr>
              <w:jc w:val="both"/>
              <w:pStyle w:val="CellColumn"/>
            </w:pPr>
            <w:r>
              <w:rPr>
                <w:rFonts w:hAnsi="Times New Roman" w:cs="Times New Roman"/>
              </w:rPr>
              <w:t xml:space="preserve">115,4</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se odnose na financiranje redovnog poslovanja Pravosudne akademije (rashodi za zaposlene i materijalni rashodi). Od ukupno planiranih sredstava za 2025. u iznosu od 1.096.450 € najveći dio u iznosu 770.000 € se odnosi na rashode za plaće i doprinose na plaće, 36.000 € se odnosi na naknade za rad članovima Programskog vijeća Pravosudne akademije (temeljem Zakona o pravosudnoj akademiji), a preostali iznos na ostale troškove redovnog poslovanja. Od ukupno planiranog iznosa za 2026. u iznosu 1.033.230 € na rashode za plaće i doprinose na plaće se odnosi 771.780 €, na naknade za rad članovima Programskog vijeća Pravosudne akademije 36.000 €, a preostali iznos se odnosi na ostale troškove redovnog poslovanja. Od ukupno planiranog iznosa za 2027. u iznosu 1.043.330 € najveći udio se odnosi na rashode za plaće i doprinose na plaće u iznosu 771.780 €, na naknade za rad članovima Programskog vijeća Pravosudne akademije 36.000 €, a preostali iznos se odnosi na ostale troškove redovnog poslovanja.</w:t>
      </w:r>
    </w:p>
    <w:p>
      <w:pPr>
        <w:jc w:val="left"/>
        <w:pStyle w:val="Heading4"/>
      </w:pPr>
      <w:r>
        <w:rPr>
          <w:rFonts w:hAnsi="Times New Roman" w:cs="Times New Roman"/>
        </w:rPr>
        <w:t xml:space="preserve">A844002 DRŽAVNA ŠKOLA ZA PRAVOSUDNE DUŽNOSNIKE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Pravosudnoj akademiji (čl. 4., čl. 20.-31.)</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A844002-DRŽAVNA ŠKOLA ZA PRAVOSUDNE DUŽNOSNIKE</w:t>
            </w:r>
          </w:p>
        </w:tc>
        <w:tc>
          <w:tcPr>
            <w:tcW w:w="1632.96" w:type="dxa"/>
            <w:vAlign w:val="center"/>
          </w:tcPr>
          <w:p>
            <w:pPr>
              <w:jc w:val="both"/>
              <w:pStyle w:val="CellColumn"/>
            </w:pPr>
            <w:r>
              <w:rPr>
                <w:rFonts w:hAnsi="Times New Roman" w:cs="Times New Roman"/>
              </w:rPr>
              <w:t xml:space="preserve">82.038</w:t>
            </w:r>
          </w:p>
        </w:tc>
        <w:tc>
          <w:tcPr>
            <w:tcW w:w="1632.96" w:type="dxa"/>
            <w:vAlign w:val="center"/>
          </w:tcPr>
          <w:p>
            <w:pPr>
              <w:jc w:val="both"/>
              <w:pStyle w:val="CellColumn"/>
            </w:pPr>
            <w:r>
              <w:rPr>
                <w:rFonts w:hAnsi="Times New Roman" w:cs="Times New Roman"/>
              </w:rPr>
              <w:t xml:space="preserve">378.400</w:t>
            </w:r>
          </w:p>
        </w:tc>
        <w:tc>
          <w:tcPr>
            <w:tcW w:w="1632.96" w:type="dxa"/>
            <w:vAlign w:val="center"/>
          </w:tcPr>
          <w:p>
            <w:pPr>
              <w:jc w:val="both"/>
              <w:pStyle w:val="CellColumn"/>
            </w:pPr>
            <w:r>
              <w:rPr>
                <w:rFonts w:hAnsi="Times New Roman" w:cs="Times New Roman"/>
              </w:rPr>
              <w:t xml:space="preserve">273.000</w:t>
            </w:r>
          </w:p>
        </w:tc>
        <w:tc>
          <w:tcPr>
            <w:tcW w:w="1632.96" w:type="dxa"/>
            <w:vAlign w:val="center"/>
          </w:tcPr>
          <w:p>
            <w:pPr>
              <w:jc w:val="both"/>
              <w:pStyle w:val="CellColumn"/>
            </w:pPr>
            <w:r>
              <w:rPr>
                <w:rFonts w:hAnsi="Times New Roman" w:cs="Times New Roman"/>
              </w:rPr>
              <w:t xml:space="preserve">280.000</w:t>
            </w:r>
          </w:p>
        </w:tc>
        <w:tc>
          <w:tcPr>
            <w:tcW w:w="1632.96" w:type="dxa"/>
            <w:vAlign w:val="center"/>
          </w:tcPr>
          <w:p>
            <w:pPr>
              <w:jc w:val="both"/>
              <w:pStyle w:val="CellColumn"/>
            </w:pPr>
            <w:r>
              <w:rPr>
                <w:rFonts w:hAnsi="Times New Roman" w:cs="Times New Roman"/>
              </w:rPr>
              <w:t xml:space="preserve">273.000</w:t>
            </w:r>
          </w:p>
        </w:tc>
        <w:tc>
          <w:tcPr>
            <w:tcW w:w="510.3" w:type="dxa"/>
            <w:vAlign w:val="center"/>
          </w:tcPr>
          <w:p>
            <w:pPr>
              <w:jc w:val="both"/>
              <w:pStyle w:val="CellColumn"/>
            </w:pPr>
            <w:r>
              <w:rPr>
                <w:rFonts w:hAnsi="Times New Roman" w:cs="Times New Roman"/>
              </w:rPr>
              <w:t xml:space="preserve">72,1</w:t>
            </w:r>
          </w:p>
        </w:tc>
      </w:tr>
    </w:tbl>
    <w:p>
      <w:pPr>
        <w:jc w:val="left"/>
      </w:pPr>
      <w:r>
        <w:rPr>
          <w:rFonts w:hAnsi="Times New Roman" w:cs="Times New Roman"/>
        </w:rPr>
        <w:t xml:space="preserve"/>
      </w:r>
    </w:p>
    <w:p>
      <w:pPr>
        <w:jc w:val="both"/>
        <w:pStyle w:val="Normal"/>
      </w:pPr>
      <w:r>
        <w:rPr>
          <w:rFonts w:hAnsi="Times New Roman" w:cs="Times New Roman"/>
        </w:rPr>
        <w:t xml:space="preserve">Državna škola za pravosudne dužnosnike je ustrojstvena jedinica u sastavu Pravosudne akademije. U Školi se stječu vještine i znanja za samostalno, odgovorno, neovisno i nepristrano obnašanje dužnosti suca općinskog, trgovačkog i upravnog suda, odnosno zamjenika općinskog državnog odvjetnika. Osobe primljene u Državnu službu na neodređeno vrijeme i raspoređene na radno mjesto savjetnika u pravosudnom tijelu obvezni su polaznici Škole. Planirana sredstva za u iznosu 266.000 € godišnje utrošit će se za održavanje edukacija polaznicima Škole, a  odnose se na naknade predavačima i ocjenjivanje pisanih provjera znanja.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provedenih edukacija polaznika Državne škole za pravosudne dužnosnike</w:t>
            </w:r>
          </w:p>
        </w:tc>
        <w:tc>
          <w:tcPr>
            <w:tcW w:w="2245.32" w:type="dxa"/>
            <w:vAlign w:val="center"/>
          </w:tcPr>
          <w:p>
            <w:pPr>
              <w:jc w:val="both"/>
              <w:pStyle w:val="CellColumn"/>
            </w:pPr>
            <w:r>
              <w:rPr>
                <w:rFonts w:hAnsi="Times New Roman" w:cs="Times New Roman"/>
              </w:rPr>
              <w:t xml:space="preserve">Stručno usavršavanje se provodi za kandidate za suce i državne odvjetnike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215</w:t>
            </w:r>
          </w:p>
        </w:tc>
        <w:tc>
          <w:tcPr>
            <w:tcW w:w="918.54" w:type="dxa"/>
            <w:vAlign w:val="center"/>
          </w:tcPr>
          <w:p>
            <w:pPr>
              <w:jc w:val="both"/>
              <w:pStyle w:val="CellColumn"/>
            </w:pPr>
            <w:r>
              <w:rPr>
                <w:rFonts w:hAnsi="Times New Roman" w:cs="Times New Roman"/>
              </w:rPr>
              <w:t xml:space="preserve">PA</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75</w:t>
            </w:r>
          </w:p>
        </w:tc>
        <w:tc>
          <w:tcPr>
            <w:tcW w:w="918.54" w:type="dxa"/>
            <w:vAlign w:val="center"/>
          </w:tcPr>
          <w:p>
            <w:pPr>
              <w:jc w:val="both"/>
              <w:pStyle w:val="CellColumn"/>
            </w:pPr>
            <w:r>
              <w:rPr>
                <w:rFonts w:hAnsi="Times New Roman" w:cs="Times New Roman"/>
              </w:rPr>
              <w:t xml:space="preserve">50</w:t>
            </w:r>
          </w:p>
        </w:tc>
      </w:tr>
    </w:tbl>
    <w:p>
      <w:pPr>
        <w:jc w:val="left"/>
      </w:pPr>
      <w:r>
        <w:rPr>
          <w:rFonts w:hAnsi="Times New Roman" w:cs="Times New Roman"/>
        </w:rPr>
        <w:t xml:space="preserve"/>
      </w:r>
    </w:p>
    <w:p>
      <w:pPr>
        <w:jc w:val="left"/>
        <w:pStyle w:val="Heading4"/>
      </w:pPr>
      <w:r>
        <w:rPr>
          <w:rFonts w:hAnsi="Times New Roman" w:cs="Times New Roman"/>
        </w:rPr>
        <w:t xml:space="preserve">A844003 STRUČNO USAVRŠAVANJE SLUŽBENIKA IZ PODRUČJA PRAVOSUĐA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Pravosudnoj akademiji (čl. 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A844003-STRUČNO USAVRŠAVANJE SLUŽBENIKA IZ PODRUČJA PRAVOSUĐA</w:t>
            </w:r>
          </w:p>
        </w:tc>
        <w:tc>
          <w:tcPr>
            <w:tcW w:w="1632.96" w:type="dxa"/>
            <w:vAlign w:val="center"/>
          </w:tcPr>
          <w:p>
            <w:pPr>
              <w:jc w:val="both"/>
              <w:pStyle w:val="CellColumn"/>
            </w:pPr>
            <w:r>
              <w:rPr>
                <w:rFonts w:hAnsi="Times New Roman" w:cs="Times New Roman"/>
              </w:rPr>
              <w:t xml:space="preserve">40.492</w:t>
            </w:r>
          </w:p>
        </w:tc>
        <w:tc>
          <w:tcPr>
            <w:tcW w:w="1632.96" w:type="dxa"/>
            <w:vAlign w:val="center"/>
          </w:tcPr>
          <w:p>
            <w:pPr>
              <w:jc w:val="both"/>
              <w:pStyle w:val="CellColumn"/>
            </w:pPr>
            <w:r>
              <w:rPr>
                <w:rFonts w:hAnsi="Times New Roman" w:cs="Times New Roman"/>
              </w:rPr>
              <w:t xml:space="preserve">41.000</w:t>
            </w:r>
          </w:p>
        </w:tc>
        <w:tc>
          <w:tcPr>
            <w:tcW w:w="1632.96" w:type="dxa"/>
            <w:vAlign w:val="center"/>
          </w:tcPr>
          <w:p>
            <w:pPr>
              <w:jc w:val="both"/>
              <w:pStyle w:val="CellColumn"/>
            </w:pPr>
            <w:r>
              <w:rPr>
                <w:rFonts w:hAnsi="Times New Roman" w:cs="Times New Roman"/>
              </w:rPr>
              <w:t xml:space="preserve">39.000</w:t>
            </w:r>
          </w:p>
        </w:tc>
        <w:tc>
          <w:tcPr>
            <w:tcW w:w="1632.96" w:type="dxa"/>
            <w:vAlign w:val="center"/>
          </w:tcPr>
          <w:p>
            <w:pPr>
              <w:jc w:val="both"/>
              <w:pStyle w:val="CellColumn"/>
            </w:pPr>
            <w:r>
              <w:rPr>
                <w:rFonts w:hAnsi="Times New Roman" w:cs="Times New Roman"/>
              </w:rPr>
              <w:t xml:space="preserve">44.000</w:t>
            </w:r>
          </w:p>
        </w:tc>
        <w:tc>
          <w:tcPr>
            <w:tcW w:w="1632.96" w:type="dxa"/>
            <w:vAlign w:val="center"/>
          </w:tcPr>
          <w:p>
            <w:pPr>
              <w:jc w:val="both"/>
              <w:pStyle w:val="CellColumn"/>
            </w:pPr>
            <w:r>
              <w:rPr>
                <w:rFonts w:hAnsi="Times New Roman" w:cs="Times New Roman"/>
              </w:rPr>
              <w:t xml:space="preserve">44.000</w:t>
            </w:r>
          </w:p>
        </w:tc>
        <w:tc>
          <w:tcPr>
            <w:tcW w:w="510.3" w:type="dxa"/>
            <w:vAlign w:val="center"/>
          </w:tcPr>
          <w:p>
            <w:pPr>
              <w:jc w:val="both"/>
              <w:pStyle w:val="CellColumn"/>
            </w:pPr>
            <w:r>
              <w:rPr>
                <w:rFonts w:hAnsi="Times New Roman" w:cs="Times New Roman"/>
              </w:rPr>
              <w:t xml:space="preserve">95,1</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edukaciju službenika u pravosudnim tijelima, koja se provodi od 2016. U tu svrhu se održavaju radionice i druge aktivnosti. Od ukupno planiranih sredstava najznačajniji dio u iznosu od 30.000 € za 2025. te po 35.000 € za 2026. i 2027. se odnosi na honorare predavačima i na troškove službenih putovanja predavača u slučajevima kada se radionice izvode u regionalnim centrima, sukladno internim aktima Pravosudne akademije. Okvirni trošak održavanja 1 radionice je 664 € u što su uključeni troškovi 2 predavača.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radionica PA</w:t>
            </w:r>
          </w:p>
        </w:tc>
        <w:tc>
          <w:tcPr>
            <w:tcW w:w="2245.32" w:type="dxa"/>
            <w:vAlign w:val="center"/>
          </w:tcPr>
          <w:p>
            <w:pPr>
              <w:jc w:val="both"/>
              <w:pStyle w:val="CellColumn"/>
            </w:pPr>
            <w:r>
              <w:rPr>
                <w:rFonts w:hAnsi="Times New Roman" w:cs="Times New Roman"/>
              </w:rPr>
              <w:t xml:space="preserve">Stručno usavršavane provodi se za službenike iz područja pravosuđa s ciljem unapređenja njihovih znanja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Baza podataka polaznika i voditelja koju vodi PA</w:t>
            </w:r>
          </w:p>
        </w:tc>
        <w:tc>
          <w:tcPr>
            <w:tcW w:w="918.54" w:type="dxa"/>
            <w:vAlign w:val="center"/>
          </w:tcPr>
          <w:p>
            <w:pPr>
              <w:jc w:val="both"/>
              <w:pStyle w:val="CellColumn"/>
            </w:pPr>
            <w:r>
              <w:rPr>
                <w:rFonts w:hAnsi="Times New Roman" w:cs="Times New Roman"/>
              </w:rPr>
              <w:t xml:space="preserve">40</w:t>
            </w:r>
          </w:p>
        </w:tc>
        <w:tc>
          <w:tcPr>
            <w:tcW w:w="918.54" w:type="dxa"/>
            <w:vAlign w:val="center"/>
          </w:tcPr>
          <w:p>
            <w:pPr>
              <w:jc w:val="both"/>
              <w:pStyle w:val="CellColumn"/>
            </w:pPr>
            <w:r>
              <w:rPr>
                <w:rFonts w:hAnsi="Times New Roman" w:cs="Times New Roman"/>
              </w:rPr>
              <w:t xml:space="preserve">40</w:t>
            </w:r>
          </w:p>
        </w:tc>
        <w:tc>
          <w:tcPr>
            <w:tcW w:w="918.54" w:type="dxa"/>
            <w:vAlign w:val="center"/>
          </w:tcPr>
          <w:p>
            <w:pPr>
              <w:jc w:val="both"/>
              <w:pStyle w:val="CellColumn"/>
            </w:pPr>
            <w:r>
              <w:rPr>
                <w:rFonts w:hAnsi="Times New Roman" w:cs="Times New Roman"/>
              </w:rPr>
              <w:t xml:space="preserve">40</w:t>
            </w:r>
          </w:p>
        </w:tc>
      </w:tr>
    </w:tbl>
    <w:p>
      <w:pPr>
        <w:jc w:val="left"/>
      </w:pPr>
      <w:r>
        <w:rPr>
          <w:rFonts w:hAnsi="Times New Roman" w:cs="Times New Roman"/>
        </w:rPr>
        <w:t xml:space="preserve"/>
      </w:r>
    </w:p>
    <w:p>
      <w:pPr>
        <w:jc w:val="left"/>
        <w:pStyle w:val="Heading4"/>
      </w:pPr>
      <w:r>
        <w:rPr>
          <w:rFonts w:hAnsi="Times New Roman" w:cs="Times New Roman"/>
        </w:rPr>
        <w:t xml:space="preserve">A844006 STRUČNO USAVRŠAVANJE DRUGIH SUDIONIKA U POSTUPCIMA PRED PRAVOSUDNIM TIJELIMA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Pravosudnoj akademiji (čl. 4.)</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A844006-STRUČNO USAVRŠAVANJE DRUGIH SUDIONIKA U POSTUPCIMA PRED PRAVOSUDNIM TIJELIMA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73.800</w:t>
            </w:r>
          </w:p>
        </w:tc>
        <w:tc>
          <w:tcPr>
            <w:tcW w:w="1632.96" w:type="dxa"/>
            <w:vAlign w:val="center"/>
          </w:tcPr>
          <w:p>
            <w:pPr>
              <w:jc w:val="both"/>
              <w:pStyle w:val="CellColumn"/>
            </w:pPr>
            <w:r>
              <w:rPr>
                <w:rFonts w:hAnsi="Times New Roman" w:cs="Times New Roman"/>
              </w:rPr>
              <w:t xml:space="preserve">6.000</w:t>
            </w:r>
          </w:p>
        </w:tc>
        <w:tc>
          <w:tcPr>
            <w:tcW w:w="1632.96" w:type="dxa"/>
            <w:vAlign w:val="center"/>
          </w:tcPr>
          <w:p>
            <w:pPr>
              <w:jc w:val="both"/>
              <w:pStyle w:val="CellColumn"/>
            </w:pPr>
            <w:r>
              <w:rPr>
                <w:rFonts w:hAnsi="Times New Roman" w:cs="Times New Roman"/>
              </w:rPr>
              <w:t xml:space="preserve">6.500</w:t>
            </w:r>
          </w:p>
        </w:tc>
        <w:tc>
          <w:tcPr>
            <w:tcW w:w="1632.96" w:type="dxa"/>
            <w:vAlign w:val="center"/>
          </w:tcPr>
          <w:p>
            <w:pPr>
              <w:jc w:val="both"/>
              <w:pStyle w:val="CellColumn"/>
            </w:pPr>
            <w:r>
              <w:rPr>
                <w:rFonts w:hAnsi="Times New Roman" w:cs="Times New Roman"/>
              </w:rPr>
              <w:t xml:space="preserve">6.000</w:t>
            </w:r>
          </w:p>
        </w:tc>
        <w:tc>
          <w:tcPr>
            <w:tcW w:w="510.3" w:type="dxa"/>
            <w:vAlign w:val="center"/>
          </w:tcPr>
          <w:p>
            <w:pPr>
              <w:jc w:val="both"/>
              <w:pStyle w:val="CellColumn"/>
            </w:pPr>
            <w:r>
              <w:rPr>
                <w:rFonts w:hAnsi="Times New Roman" w:cs="Times New Roman"/>
              </w:rPr>
              <w:t xml:space="preserve">8,1</w:t>
            </w:r>
          </w:p>
        </w:tc>
      </w:tr>
    </w:tbl>
    <w:p>
      <w:pPr>
        <w:jc w:val="left"/>
      </w:pPr>
      <w:r>
        <w:rPr>
          <w:rFonts w:hAnsi="Times New Roman" w:cs="Times New Roman"/>
        </w:rPr>
        <w:t xml:space="preserve"/>
      </w:r>
    </w:p>
    <w:p>
      <w:pPr>
        <w:jc w:val="both"/>
        <w:pStyle w:val="Normal"/>
      </w:pPr>
      <w:r>
        <w:rPr>
          <w:rFonts w:hAnsi="Times New Roman" w:cs="Times New Roman"/>
        </w:rPr>
        <w:t xml:space="preserve">Novi Zakon o Pravosudnoj akademiji stupio je na snagu 1. srpnja 2019., pri čemu je uvedena nova djelatnost Akademije: Organiziranje i provođenje stručnog usavršavanja drugih sudionika u postupcima pred pravosudnim tijelima (stalnih sudskih vještaka, stalnih sudskih procjenitelja, stalnih sudskih tumača, stečajnih upravitelja, povjerenika u postupcima stečaja potrošača, kandidata za polaganje stručnih ispita i dr.). Troškovi održavanja radionica podmiruju se iz prikupljenih naknada za prisustvovanje radionicama stručnog usavršavanja. Promjenom propisa od 2022. Pravosudna akademija više ne provodi edukaciju stečajnih upravitelja, nego Ministarstvo pravosuđa, uprave i digitalne transformacije.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radionica stručnog osposobljavanja</w:t>
            </w:r>
          </w:p>
        </w:tc>
        <w:tc>
          <w:tcPr>
            <w:tcW w:w="2245.32" w:type="dxa"/>
            <w:vAlign w:val="center"/>
          </w:tcPr>
          <w:p>
            <w:pPr>
              <w:jc w:val="both"/>
              <w:pStyle w:val="CellColumn"/>
            </w:pPr>
            <w:r>
              <w:rPr>
                <w:rFonts w:hAnsi="Times New Roman" w:cs="Times New Roman"/>
              </w:rPr>
              <w:t xml:space="preserve">Stručno usavršavanje za druge ciljne skupine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PA</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3</w:t>
            </w:r>
          </w:p>
        </w:tc>
      </w:tr>
    </w:tbl>
    <w:p>
      <w:pPr>
        <w:jc w:val="left"/>
      </w:pPr>
      <w:r>
        <w:rPr>
          <w:rFonts w:hAnsi="Times New Roman" w:cs="Times New Roman"/>
        </w:rPr>
        <w:t xml:space="preserve"/>
      </w:r>
    </w:p>
    <w:p>
      <w:pPr>
        <w:jc w:val="left"/>
        <w:pStyle w:val="Heading2"/>
      </w:pPr>
      <w:r>
        <w:rPr>
          <w:rFonts w:hAnsi="Times New Roman" w:cs="Times New Roman"/>
        </w:rPr>
        <w:t xml:space="preserve">10915 Zatvori i kaznionice</w:t>
      </w:r>
    </w:p>
    <w:p>
      <w:pPr>
        <w:jc w:val="both"/>
        <w:pStyle w:val="Normal3"/>
      </w:pPr>
      <w:r>
        <w:rPr>
          <w:rFonts w:hAnsi="Times New Roman" w:cs="Times New Roman"/>
        </w:rPr>
        <w:t xml:space="preserve">Kazna zatvora u Republici Hrvatskoj izvršava se kroz 25 institucija zatvora, kaznionica i odgojnih zavoda. Zakonom o izvršavanju kazne zatvora propisani su standardi smještaja zatvorenika. Broj zatvorenika je u stalnom porastu. Takva tendencija rasta broja osoba u zatvorskim institucijama traži nužno povećanje smještajnih kapaciteta. Temeljne zadaće zatvorskog sustava su zaštita društva od počinitelja kaznenih djela i postizanje svrhe izvršavanja kazne zatvora: organizacija života zatvorenika i motivacija zatvorenika da se osposobi za samostalni život na slobodi u skladu s društvenim normama, istovremeno umanjujući štetne posljedice koje uvjetuje život u zatvoru. Zatvorski sustav čini 25 ustrojstvenih jedinica: 6 kaznionica, 14 zatvora, Odgojni zavodi u Požegi i Turopolju, Zatvorska bolnica u Zagrebu, Centar za dijagnostiku u Zagrebu i Centar za izobrazbu.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10915-Zatvori i kaznionice</w:t>
            </w:r>
          </w:p>
        </w:tc>
        <w:tc>
          <w:tcPr>
            <w:tcW w:w="1632.96" w:type="dxa"/>
            <w:vAlign w:val="center"/>
          </w:tcPr>
          <w:p>
            <w:pPr>
              <w:jc w:val="both"/>
              <w:pStyle w:val="CellColumn"/>
            </w:pPr>
            <w:r>
              <w:rPr>
                <w:rFonts w:hAnsi="Times New Roman" w:cs="Times New Roman"/>
              </w:rPr>
              <w:t xml:space="preserve">101.328.532</w:t>
            </w:r>
          </w:p>
        </w:tc>
        <w:tc>
          <w:tcPr>
            <w:tcW w:w="1632.96" w:type="dxa"/>
            <w:vAlign w:val="center"/>
          </w:tcPr>
          <w:p>
            <w:pPr>
              <w:jc w:val="both"/>
              <w:pStyle w:val="CellColumn"/>
            </w:pPr>
            <w:r>
              <w:rPr>
                <w:rFonts w:hAnsi="Times New Roman" w:cs="Times New Roman"/>
              </w:rPr>
              <w:t xml:space="preserve">128.868.571</w:t>
            </w:r>
          </w:p>
        </w:tc>
        <w:tc>
          <w:tcPr>
            <w:tcW w:w="1632.96" w:type="dxa"/>
            <w:vAlign w:val="center"/>
          </w:tcPr>
          <w:p>
            <w:pPr>
              <w:jc w:val="both"/>
              <w:pStyle w:val="CellColumn"/>
            </w:pPr>
            <w:r>
              <w:rPr>
                <w:rFonts w:hAnsi="Times New Roman" w:cs="Times New Roman"/>
              </w:rPr>
              <w:t xml:space="preserve">141.533.785</w:t>
            </w:r>
          </w:p>
        </w:tc>
        <w:tc>
          <w:tcPr>
            <w:tcW w:w="1632.96" w:type="dxa"/>
            <w:vAlign w:val="center"/>
          </w:tcPr>
          <w:p>
            <w:pPr>
              <w:jc w:val="both"/>
              <w:pStyle w:val="CellColumn"/>
            </w:pPr>
            <w:r>
              <w:rPr>
                <w:rFonts w:hAnsi="Times New Roman" w:cs="Times New Roman"/>
              </w:rPr>
              <w:t xml:space="preserve">133.476.945</w:t>
            </w:r>
          </w:p>
        </w:tc>
        <w:tc>
          <w:tcPr>
            <w:tcW w:w="1632.96" w:type="dxa"/>
            <w:vAlign w:val="center"/>
          </w:tcPr>
          <w:p>
            <w:pPr>
              <w:jc w:val="both"/>
              <w:pStyle w:val="CellColumn"/>
            </w:pPr>
            <w:r>
              <w:rPr>
                <w:rFonts w:hAnsi="Times New Roman" w:cs="Times New Roman"/>
              </w:rPr>
              <w:t xml:space="preserve">132.006.296</w:t>
            </w:r>
          </w:p>
        </w:tc>
        <w:tc>
          <w:tcPr>
            <w:tcW w:w="510.3" w:type="dxa"/>
            <w:vAlign w:val="center"/>
          </w:tcPr>
          <w:p>
            <w:pPr>
              <w:jc w:val="both"/>
              <w:pStyle w:val="CellColumn"/>
            </w:pPr>
            <w:r>
              <w:rPr>
                <w:rFonts w:hAnsi="Times New Roman" w:cs="Times New Roman"/>
              </w:rPr>
              <w:t xml:space="preserve">109,8</w:t>
            </w:r>
          </w:p>
        </w:tc>
      </w:tr>
    </w:tbl>
    <w:p>
      <w:pPr>
        <w:jc w:val="left"/>
      </w:pPr>
      <w:r>
        <w:rPr>
          <w:rFonts w:hAnsi="Times New Roman" w:cs="Times New Roman"/>
        </w:rPr>
        <w:t xml:space="preserve"/>
      </w:r>
    </w:p>
    <w:p>
      <w:pPr>
        <w:jc w:val="left"/>
        <w:pStyle w:val="Heading3"/>
      </w:pPr>
      <w:r>
        <w:rPr>
          <w:rFonts w:hAnsi="Times New Roman" w:cs="Times New Roman"/>
        </w:rPr>
        <w:t xml:space="preserve">2809 UPRAVLJANJE ZATVORSKIM I PROBACIJSKIM SUSTAVOM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2809-UPRAVLJANJE ZATVORSKIM I PROBACIJSKIM SUSTAVOM</w:t>
            </w:r>
          </w:p>
        </w:tc>
        <w:tc>
          <w:tcPr>
            <w:tcW w:w="1632.96" w:type="dxa"/>
            <w:vAlign w:val="center"/>
          </w:tcPr>
          <w:p>
            <w:pPr>
              <w:jc w:val="both"/>
              <w:pStyle w:val="CellColumn"/>
            </w:pPr>
            <w:r>
              <w:rPr>
                <w:rFonts w:hAnsi="Times New Roman" w:cs="Times New Roman"/>
              </w:rPr>
              <w:t xml:space="preserve">101.328.532</w:t>
            </w:r>
          </w:p>
        </w:tc>
        <w:tc>
          <w:tcPr>
            <w:tcW w:w="1632.96" w:type="dxa"/>
            <w:vAlign w:val="center"/>
          </w:tcPr>
          <w:p>
            <w:pPr>
              <w:jc w:val="both"/>
              <w:pStyle w:val="CellColumn"/>
            </w:pPr>
            <w:r>
              <w:rPr>
                <w:rFonts w:hAnsi="Times New Roman" w:cs="Times New Roman"/>
              </w:rPr>
              <w:t xml:space="preserve">128.868.571</w:t>
            </w:r>
          </w:p>
        </w:tc>
        <w:tc>
          <w:tcPr>
            <w:tcW w:w="1632.96" w:type="dxa"/>
            <w:vAlign w:val="center"/>
          </w:tcPr>
          <w:p>
            <w:pPr>
              <w:jc w:val="both"/>
              <w:pStyle w:val="CellColumn"/>
            </w:pPr>
            <w:r>
              <w:rPr>
                <w:rFonts w:hAnsi="Times New Roman" w:cs="Times New Roman"/>
              </w:rPr>
              <w:t xml:space="preserve">141.533.785</w:t>
            </w:r>
          </w:p>
        </w:tc>
        <w:tc>
          <w:tcPr>
            <w:tcW w:w="1632.96" w:type="dxa"/>
            <w:vAlign w:val="center"/>
          </w:tcPr>
          <w:p>
            <w:pPr>
              <w:jc w:val="both"/>
              <w:pStyle w:val="CellColumn"/>
            </w:pPr>
            <w:r>
              <w:rPr>
                <w:rFonts w:hAnsi="Times New Roman" w:cs="Times New Roman"/>
              </w:rPr>
              <w:t xml:space="preserve">133.476.945</w:t>
            </w:r>
          </w:p>
        </w:tc>
        <w:tc>
          <w:tcPr>
            <w:tcW w:w="1632.96" w:type="dxa"/>
            <w:vAlign w:val="center"/>
          </w:tcPr>
          <w:p>
            <w:pPr>
              <w:jc w:val="both"/>
              <w:pStyle w:val="CellColumn"/>
            </w:pPr>
            <w:r>
              <w:rPr>
                <w:rFonts w:hAnsi="Times New Roman" w:cs="Times New Roman"/>
              </w:rPr>
              <w:t xml:space="preserve">132.006.296</w:t>
            </w:r>
          </w:p>
        </w:tc>
        <w:tc>
          <w:tcPr>
            <w:tcW w:w="510.3" w:type="dxa"/>
            <w:vAlign w:val="center"/>
          </w:tcPr>
          <w:p>
            <w:pPr>
              <w:jc w:val="both"/>
              <w:pStyle w:val="CellColumn"/>
            </w:pPr>
            <w:r>
              <w:rPr>
                <w:rFonts w:hAnsi="Times New Roman" w:cs="Times New Roman"/>
              </w:rPr>
              <w:t xml:space="preserve">109,8</w:t>
            </w:r>
          </w:p>
        </w:tc>
      </w:tr>
    </w:tbl>
    <w:p>
      <w:pPr>
        <w:jc w:val="left"/>
      </w:pPr>
      <w:r>
        <w:rPr>
          <w:rFonts w:hAnsi="Times New Roman" w:cs="Times New Roman"/>
        </w:rPr>
        <w:t xml:space="preserve"/>
      </w:r>
    </w:p>
    <w:p>
      <w:pPr>
        <w:jc w:val="left"/>
        <w:pStyle w:val="Heading7"/>
      </w:pPr>
      <w:r>
        <w:rPr>
          <w:rFonts w:hAnsi="Times New Roman" w:cs="Times New Roman"/>
        </w:rPr>
        <w:t xml:space="preserve">Cilj 1. Podizanje razine životnih uvjeta i zaštite ljudskog dostojanstva zatvorenika i maloljetnika na izvršavanju kazne zatvora, mjere pritvora i odgojne mjere.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Povećanje provedenih mjera za promicanje zaštite ljudskih prava i sloboda</w:t>
            </w:r>
          </w:p>
        </w:tc>
        <w:tc>
          <w:tcPr>
            <w:tcW w:w="2245.32" w:type="dxa"/>
            <w:vAlign w:val="center"/>
          </w:tcPr>
          <w:p>
            <w:pPr>
              <w:jc w:val="both"/>
              <w:pStyle w:val="CellColumn"/>
            </w:pPr>
            <w:r>
              <w:rPr>
                <w:rFonts w:hAnsi="Times New Roman" w:cs="Times New Roman"/>
              </w:rPr>
              <w:t xml:space="preserve">Uspješno provedene mjere i aktivnosti u vezi s promicanjem zaštite ljudskih prava i sloboda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83</w:t>
            </w:r>
          </w:p>
        </w:tc>
        <w:tc>
          <w:tcPr>
            <w:tcW w:w="918.54" w:type="dxa"/>
            <w:vAlign w:val="center"/>
          </w:tcPr>
          <w:p>
            <w:pPr>
              <w:jc w:val="both"/>
              <w:pStyle w:val="CellColumn"/>
            </w:pPr>
            <w:r>
              <w:rPr>
                <w:rFonts w:hAnsi="Times New Roman" w:cs="Times New Roman"/>
              </w:rPr>
              <w:t xml:space="preserve">84</w:t>
            </w:r>
          </w:p>
        </w:tc>
        <w:tc>
          <w:tcPr>
            <w:tcW w:w="918.54" w:type="dxa"/>
            <w:vAlign w:val="center"/>
          </w:tcPr>
          <w:p>
            <w:pPr>
              <w:jc w:val="both"/>
              <w:pStyle w:val="CellColumn"/>
            </w:pPr>
            <w:r>
              <w:rPr>
                <w:rFonts w:hAnsi="Times New Roman" w:cs="Times New Roman"/>
              </w:rPr>
              <w:t xml:space="preserve">85</w:t>
            </w:r>
          </w:p>
        </w:tc>
      </w:tr>
    </w:tbl>
    <w:p>
      <w:pPr>
        <w:jc w:val="left"/>
      </w:pPr>
      <w:r>
        <w:rPr>
          <w:rFonts w:hAnsi="Times New Roman" w:cs="Times New Roman"/>
        </w:rPr>
        <w:t xml:space="preserve"/>
      </w:r>
    </w:p>
    <w:p>
      <w:pPr>
        <w:jc w:val="left"/>
        <w:pStyle w:val="Heading4"/>
      </w:pPr>
      <w:r>
        <w:rPr>
          <w:rFonts w:hAnsi="Times New Roman" w:cs="Times New Roman"/>
        </w:rPr>
        <w:t xml:space="preserve">A630000 IZVRŠAVANJE KAZNE ZATVORA, MJERE PRITVORA I ODGOJNE MJERE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izvršavanju kazne zatvora (članci 45. i 46.), Zakon o izvršavanju sankcija izrečenih maloljetnicima za kaznena djela i prekršaje, Uredba o kriterijima, mjerilima i postupcima financiranja i ugovaranja programa i projekata od interesa za opće dobro koje provode udruge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A630000-IZVRŠAVANJE KAZNE ZATVORA, MJERE PRITVORA I ODGOJNE MJERE</w:t>
            </w:r>
          </w:p>
        </w:tc>
        <w:tc>
          <w:tcPr>
            <w:tcW w:w="1632.96" w:type="dxa"/>
            <w:vAlign w:val="center"/>
          </w:tcPr>
          <w:p>
            <w:pPr>
              <w:jc w:val="both"/>
              <w:pStyle w:val="CellColumn"/>
            </w:pPr>
            <w:r>
              <w:rPr>
                <w:rFonts w:hAnsi="Times New Roman" w:cs="Times New Roman"/>
              </w:rPr>
              <w:t xml:space="preserve">95.112.554</w:t>
            </w:r>
          </w:p>
        </w:tc>
        <w:tc>
          <w:tcPr>
            <w:tcW w:w="1632.96" w:type="dxa"/>
            <w:vAlign w:val="center"/>
          </w:tcPr>
          <w:p>
            <w:pPr>
              <w:jc w:val="both"/>
              <w:pStyle w:val="CellColumn"/>
            </w:pPr>
            <w:r>
              <w:rPr>
                <w:rFonts w:hAnsi="Times New Roman" w:cs="Times New Roman"/>
              </w:rPr>
              <w:t xml:space="preserve">121.867.988</w:t>
            </w:r>
          </w:p>
        </w:tc>
        <w:tc>
          <w:tcPr>
            <w:tcW w:w="1632.96" w:type="dxa"/>
            <w:vAlign w:val="center"/>
          </w:tcPr>
          <w:p>
            <w:pPr>
              <w:jc w:val="both"/>
              <w:pStyle w:val="CellColumn"/>
            </w:pPr>
            <w:r>
              <w:rPr>
                <w:rFonts w:hAnsi="Times New Roman" w:cs="Times New Roman"/>
              </w:rPr>
              <w:t xml:space="preserve">134.943.217</w:t>
            </w:r>
          </w:p>
        </w:tc>
        <w:tc>
          <w:tcPr>
            <w:tcW w:w="1632.96" w:type="dxa"/>
            <w:vAlign w:val="center"/>
          </w:tcPr>
          <w:p>
            <w:pPr>
              <w:jc w:val="both"/>
              <w:pStyle w:val="CellColumn"/>
            </w:pPr>
            <w:r>
              <w:rPr>
                <w:rFonts w:hAnsi="Times New Roman" w:cs="Times New Roman"/>
              </w:rPr>
              <w:t xml:space="preserve">126.967.520</w:t>
            </w:r>
          </w:p>
        </w:tc>
        <w:tc>
          <w:tcPr>
            <w:tcW w:w="1632.96" w:type="dxa"/>
            <w:vAlign w:val="center"/>
          </w:tcPr>
          <w:p>
            <w:pPr>
              <w:jc w:val="both"/>
              <w:pStyle w:val="CellColumn"/>
            </w:pPr>
            <w:r>
              <w:rPr>
                <w:rFonts w:hAnsi="Times New Roman" w:cs="Times New Roman"/>
              </w:rPr>
              <w:t xml:space="preserve">125.598.773</w:t>
            </w:r>
          </w:p>
        </w:tc>
        <w:tc>
          <w:tcPr>
            <w:tcW w:w="510.3" w:type="dxa"/>
            <w:vAlign w:val="center"/>
          </w:tcPr>
          <w:p>
            <w:pPr>
              <w:jc w:val="both"/>
              <w:pStyle w:val="CellColumn"/>
            </w:pPr>
            <w:r>
              <w:rPr>
                <w:rFonts w:hAnsi="Times New Roman" w:cs="Times New Roman"/>
              </w:rPr>
              <w:t xml:space="preserve">110,7</w:t>
            </w:r>
          </w:p>
        </w:tc>
      </w:tr>
    </w:tbl>
    <w:p>
      <w:pPr>
        <w:jc w:val="left"/>
      </w:pPr>
      <w:r>
        <w:rPr>
          <w:rFonts w:hAnsi="Times New Roman" w:cs="Times New Roman"/>
        </w:rPr>
        <w:t xml:space="preserve"/>
      </w:r>
    </w:p>
    <w:p>
      <w:pPr>
        <w:jc w:val="both"/>
        <w:pStyle w:val="Normal"/>
      </w:pPr>
      <w:r>
        <w:rPr>
          <w:rFonts w:hAnsi="Times New Roman" w:cs="Times New Roman"/>
        </w:rPr>
        <w:t xml:space="preserve">Kazna zatvora u Republici Hrvatskoj izvršava se kroz 25 institucija zatvora, kaznionica i odgojnih zavoda. Zakonom o izvršavanju kazne zatvora propisani su standardi smještaja zatvorenika. Broj zatvorenika je u stalnom porastu. Takva tendencija rasta broja osoba u zatvorskim institucijama traži nužno povećanje smještajnih kapaciteta. Temeljne zadaće zatvorskog sustava su zaštita društva od počinitelja kaznenih djela i postizanje svrhe izvršavanja kazne zatvora: organizacija života zatvorenika i motivacija zatvorenika da se osposobe za samostalni život na slobodi u skladu s društvenim normama, istovremeno umanjujući štetne posljedice koje uvjetuje život u zatvoru. Zatvorski sustav čini 25 ustrojstvenih jedinica: 6 kaznionica, 14 zatvora, Odgojni zavodi u Požegi i Turopolju, Zatvorska bolnica u Zagrebu, Centar za dijagnostiku u Zagrebu i Centar za izobrazbu. Povećanje sredstava (IF 11) u odnosu na Tekući plan 2024. iznosi 13.043.475 €. Povećanje planiranih sredstva se odnosi na plaće i doprinose (968.974 €), ostale rashode za zaposlene (prava po Kolektivnom ugovoru) (12.201 €), materijalne rashode (1.948.359 €), naknade za prijevoz na posao i s posla (440.076 €). Povećanje sredstva u iznosu 3.157.970 € je iskazano na stavkama 421, 422 i 423,  a 6.515.895 € na stavci 451 - Dodatna ulaganja na građevinskim objektima. U izračun potrebnih sredstva za plaće i doprinose u sljedećem proračunskom razdoblju su uključene plaće za redovan rad, prekovremeni rad, koji je znatan zbog nedostatnog broja službenika pravosudne policije te stalnog porasta broja zatvorenika te doprinosi, na temelju broja zaposlenih (2.641), s uvećanjem za minuli rad (0,5%). Na povećanje planiranih sredstava za plaće i doprinose utjecala je i primjena odredbi Zakona o plaćama u državnoj i javnim službama. Ostali rashodi za zaposlene planirani su na temelju ukupnog broja službenika, povećanih prava iz Kolektivnog ugovora (regres i božićnica), otpremnina prema posebnim propisima (čl. 36 Zakona o izvršavanju kazne zatvora) i ostalih materijalnih prava, prema dosadašnjoj dinamici isplata. Naknade za prijevoz, za rad na terenu i odvojeni život su planirane u iznosu 3.288.761 €, što je povećanje od 400.076 € u odnosu na Tekući plan 2024. Materijalni rashodi su planirani u iznosu 20.789.580 €, sredstva su namijenjena za pokriće troškova redovnog funkcioniranja, a planirana su na temelju stvarnih potreba i očekivanih makroekonomskih kretanja (stalni porast cijena materijala, sirovina, energije i usluga) te na temelju potreba vezanih uz brojno stanje zatvorenika od (4.876 zatvorenika), uzimajući u obzir stalni porast zatvorenika. Rashodi su povećani i za troškove odjeće, obuće, opreme i higijenskih potrepština za zatvorenike. U okviru ovih rashoda planirani su i sistematski pregledi zaposlenika, sukladno Kolektivnom ugovoru. Najveći udio u planiranim sredstvima se odnosi na energiju, prehranu za zatvorenike, komunalne usluge te ostali materijal i usluge. Planirana sredstva na stavci 42 Rashodi za nabavu proizvedene dugotrajne imovine su veća zbog nabave neophodnih uređaja i opreme za redovno funkcioniranje zatvora i kaznionica i očuvanje sigurnosti: linijska tunelska perilica suđa za zatvoreničku kuhinju, klime, hladnjaci, kreveti, TV uređaji, komunikacijska oprema, aparati za metalsku radionicu, tračni stroj za pranje posuđa, opremanje ureda, telefonska centrala, rashladna komora, video nadzor, EEG uređaj za odjel zdravstvene zaštite, hladnjak za čuvanje kvasca u zatvoreničkoj pekari, agregati, vatrogasni aparati, dizalica, punjač auto klime, električna konvekcijska pećnica, uređaji za ventilaciju i hlađenje, metal detektor vrata, hladnjak za čuvanje uzoraka u ambulanti Zatvora, klima uređaji za Odjel osiguranja, kolica za prijevoz hrane do zatvorenika na odjelima, kosilica i trimer za održavanje prostora oko zgrade zatvora, plinski i električni kotao, tehnička zaštita kruga zatvora, poljoprivredna mehanizacija, podizanje nasada voća i proširenje poljoprivredne proizvodnje, poljoprivredni uređaji, injektor za gnojnicu, traktori, traktorska prikolica, farma nesilica, plastenici, kombajn za žitarice, kombi vozila, automobili, električni automobil, kamion, komunalni stroj za održavanje, električno komunalno vozilo. Uzimajući u obzir stanje infrastrukture zatvorskog sustava, stalni porast broja zatvorenika te nužno podizanje razine sigurnosti, planirana sredstva na stavci 45 Rashodi za dodatna ulaganja na nefinancijskoj imovini čine veliki udio u planiranim sredstvima te su uvećani zbog neophodnih investicija u pojedinim kaznenim tijelima (zgrade, zastarjela postrojenja i oprema):  (prenamjena kirurške sale, rekonstrukcija nadzornih prostora, zamjena instalacija, zamjena krovišta, renovacija objekta poljoprivredne radionice, ugradnja klimatizacijskog sustava, odvodnja oborinskih voda, zamjena krovišta stambeno-poslovne zgrade i skladišta na Voćnjaku, rekonstrukcija i prenamjena objekta kino-dvorane za potrebe prijemno-otpusnog odjela, posjeta zatvorenika i ureda vezanih uz prijemno-otpusni odjel, adaptacija poluotovrenog odjela za žene, sanacija vodovoda i kanalizacije, izmjena krovišta, asfaltiranje pred upravnom zgradom, adaptacija prasilišta, adaptacija prostora za odgajanice i službenike, zamjena krovišta na zatvoreničkim objektima, zamjena krovišta, PVC stolarije, dovod grijanja, sanitarni čvorovi, unutarnji građevinski radovi-zidovi, podovi, strop-zgrada za posjete, soba za izdvajanje (gumenjara),  zamjena salonit ploča - krovovi za smještaj zatvorenika (nastambe), izrada projekta i rekonstrukcija potkrovlja zgrade zatvoreničkog odjela, rekonstrukcija plinske kotlovnice, izgradnja zamjenskog skladišnog objekta na lokaciji Poluotovreni odjel, rekonstrukcija kotlovnice i prelazak na plin, rekonstrukcija kuhinje, popravak dijela krovišta zatvora te zamjena prozora ispred vanjske šetnice, rekonstrukcija krovišta na Zgradi Zatvora u Požegi, adaptacija vanjskog zida oko zgrade Zatvora, ulaganja u električne instalacije na vanjskom zidu oko zgrade Zatvora,  obnova krovišta na zgradi zatvora cca 2000 m2, izrada šetnice na kružnom zidu zatvora, izrada projekta sustava zaštite od djelovanja munje, adaptacija prostora teretane, garderoba za službenike i sanitarnih čvorova, adaptacija kuhinje, rekonstrukcija sustava za dojavu požara, rekonstrukcija kotlovnice, izrada glavnog projekta energetske obnove, nabava i ugradnja klimatizacije i zemnog plina, rekonstrukcija kuhinje, pomoćnih prostorija kuhinje i blagovaonice sa aparatima, vrata za urede službenika, ulazna vrata u zatvoru i vrata za ambulantu (20 kom), stražarnica, preuređenje wc -a u zatvoreničkim sobama, fotonaponska elektrana, sportska oprema za teretanu za slobodne aktivnosti zatvorenika, novi kružni zid oko zatvora, integrirana sunčana elektrana, renoviranje kotlovnice za sustav grijanja, električna instalacija u ćelijama na D odjelu, uređenje tuševa i prostorije za razgovore, renoviranje vodovodne i kanalizacijske cijevi, obnova zatvoreničkih soba, 2. faza kotlovnice, čekaonica za posjetitelje  i rampa za invalide, izgradnja svinjogojske farme na Poluotvorenom Odjelu Čret, izgradnja i adaptacija farmi. Za provedbu navedenih ulaganja, planirana sredstva za 2025. na stavci 42 iznose 7.158.970 €, a na stavci 45 11.561.810 €. Rashodi koji se financiraju iz ostvarenih Prihoda od igara na sreću, lutrijska sredstva (IF 41) se odnose na provedbu programa i projekata s organizacijama civilnog društva (udrugama), usmjerenih pružanju podrške provedbi pojedinačnih programa postupanja ili izvršavanja kazne zatvora.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Ugovori sklopljeni s organizacijama civilnog društva</w:t>
            </w:r>
          </w:p>
        </w:tc>
        <w:tc>
          <w:tcPr>
            <w:tcW w:w="2245.32" w:type="dxa"/>
            <w:vAlign w:val="center"/>
          </w:tcPr>
          <w:p>
            <w:pPr>
              <w:jc w:val="both"/>
              <w:pStyle w:val="CellColumn"/>
            </w:pPr>
            <w:r>
              <w:rPr>
                <w:rFonts w:hAnsi="Times New Roman" w:cs="Times New Roman"/>
              </w:rPr>
              <w:t xml:space="preserve">Financiranje programa i projekata udruga usmjerenih pružanju podrške provođenju pojedinačnog programa postupanja/izvršavanja kazne zatvora iz dijela prihoda od igara na sreću</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15</w:t>
            </w:r>
          </w:p>
        </w:tc>
        <w:tc>
          <w:tcPr>
            <w:tcW w:w="918.54" w:type="dxa"/>
            <w:vAlign w:val="center"/>
          </w:tcPr>
          <w:p>
            <w:pPr>
              <w:jc w:val="both"/>
              <w:pStyle w:val="CellColumn"/>
            </w:pPr>
            <w:r>
              <w:rPr>
                <w:rFonts w:hAnsi="Times New Roman" w:cs="Times New Roman"/>
              </w:rPr>
              <w:t xml:space="preserve">15</w:t>
            </w:r>
          </w:p>
        </w:tc>
      </w:tr>
    </w:tbl>
    <w:p>
      <w:pPr>
        <w:jc w:val="left"/>
      </w:pPr>
      <w:r>
        <w:rPr>
          <w:rFonts w:hAnsi="Times New Roman" w:cs="Times New Roman"/>
        </w:rPr>
        <w:t xml:space="preserve"/>
      </w:r>
    </w:p>
    <w:p>
      <w:pPr>
        <w:jc w:val="left"/>
        <w:pStyle w:val="Heading4"/>
      </w:pPr>
      <w:r>
        <w:rPr>
          <w:rFonts w:hAnsi="Times New Roman" w:cs="Times New Roman"/>
        </w:rPr>
        <w:t xml:space="preserve">A630113 IZVRŠAVANJE KAZNE ZATVORA, MJERE PRITVORA I ODGOJNE MJERE (IZ EVIDENCIJSKIH PRIHODA)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izvršavanju kazne zatvora, Pravilnik o radu i raspolaganju novcem zatvorenika, Pravilnik o mjerilima i načinu korištenja nenamjenskih donacija i vlastitih prihoda proračunskih korisnika iz nadležnosti Ministarstva pravosuđa i uprave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A630113-IZVRŠAVANJE KAZNE ZATVORA, MJERE PRITVORA I ODGOJNE MJERE (IZ EVIDENCIJSKIH PRIHODA)</w:t>
            </w:r>
          </w:p>
        </w:tc>
        <w:tc>
          <w:tcPr>
            <w:tcW w:w="1632.96" w:type="dxa"/>
            <w:vAlign w:val="center"/>
          </w:tcPr>
          <w:p>
            <w:pPr>
              <w:jc w:val="both"/>
              <w:pStyle w:val="CellColumn"/>
            </w:pPr>
            <w:r>
              <w:rPr>
                <w:rFonts w:hAnsi="Times New Roman" w:cs="Times New Roman"/>
              </w:rPr>
              <w:t xml:space="preserve">6.215.978</w:t>
            </w:r>
          </w:p>
        </w:tc>
        <w:tc>
          <w:tcPr>
            <w:tcW w:w="1632.96" w:type="dxa"/>
            <w:vAlign w:val="center"/>
          </w:tcPr>
          <w:p>
            <w:pPr>
              <w:jc w:val="both"/>
              <w:pStyle w:val="CellColumn"/>
            </w:pPr>
            <w:r>
              <w:rPr>
                <w:rFonts w:hAnsi="Times New Roman" w:cs="Times New Roman"/>
              </w:rPr>
              <w:t xml:space="preserve">7.000.583</w:t>
            </w:r>
          </w:p>
        </w:tc>
        <w:tc>
          <w:tcPr>
            <w:tcW w:w="1632.96" w:type="dxa"/>
            <w:vAlign w:val="center"/>
          </w:tcPr>
          <w:p>
            <w:pPr>
              <w:jc w:val="both"/>
              <w:pStyle w:val="CellColumn"/>
            </w:pPr>
            <w:r>
              <w:rPr>
                <w:rFonts w:hAnsi="Times New Roman" w:cs="Times New Roman"/>
              </w:rPr>
              <w:t xml:space="preserve">6.590.568</w:t>
            </w:r>
          </w:p>
        </w:tc>
        <w:tc>
          <w:tcPr>
            <w:tcW w:w="1632.96" w:type="dxa"/>
            <w:vAlign w:val="center"/>
          </w:tcPr>
          <w:p>
            <w:pPr>
              <w:jc w:val="both"/>
              <w:pStyle w:val="CellColumn"/>
            </w:pPr>
            <w:r>
              <w:rPr>
                <w:rFonts w:hAnsi="Times New Roman" w:cs="Times New Roman"/>
              </w:rPr>
              <w:t xml:space="preserve">6.509.425</w:t>
            </w:r>
          </w:p>
        </w:tc>
        <w:tc>
          <w:tcPr>
            <w:tcW w:w="1632.96" w:type="dxa"/>
            <w:vAlign w:val="center"/>
          </w:tcPr>
          <w:p>
            <w:pPr>
              <w:jc w:val="both"/>
              <w:pStyle w:val="CellColumn"/>
            </w:pPr>
            <w:r>
              <w:rPr>
                <w:rFonts w:hAnsi="Times New Roman" w:cs="Times New Roman"/>
              </w:rPr>
              <w:t xml:space="preserve">6.407.523</w:t>
            </w:r>
          </w:p>
        </w:tc>
        <w:tc>
          <w:tcPr>
            <w:tcW w:w="510.3" w:type="dxa"/>
            <w:vAlign w:val="center"/>
          </w:tcPr>
          <w:p>
            <w:pPr>
              <w:jc w:val="both"/>
              <w:pStyle w:val="CellColumn"/>
            </w:pPr>
            <w:r>
              <w:rPr>
                <w:rFonts w:hAnsi="Times New Roman" w:cs="Times New Roman"/>
              </w:rPr>
              <w:t xml:space="preserve">94,1</w:t>
            </w:r>
          </w:p>
        </w:tc>
      </w:tr>
    </w:tbl>
    <w:p>
      <w:pPr>
        <w:jc w:val="left"/>
      </w:pPr>
      <w:r>
        <w:rPr>
          <w:rFonts w:hAnsi="Times New Roman" w:cs="Times New Roman"/>
        </w:rPr>
        <w:t xml:space="preserve"/>
      </w:r>
    </w:p>
    <w:p>
      <w:pPr>
        <w:jc w:val="both"/>
        <w:pStyle w:val="Normal"/>
      </w:pPr>
      <w:r>
        <w:rPr>
          <w:rFonts w:hAnsi="Times New Roman" w:cs="Times New Roman"/>
        </w:rPr>
        <w:t xml:space="preserve">Planirana sredstva u okviru ove aktivnosti obuhvaćaju sve izvore financiranja, osim izvora 11 Opći prihodi i primici i izvora 41 Prihodi od igara na sreću. Na korisnike u sustavu izvršenja sankcija, sukladno zakonu kojim se uređuje izvršavanje Državnog proračuna, se ne odnosi obveza uplate svih prihoda u državni proračun, već ostvarenje i trošenje vlastitih prihoda kaznena tijela iskazuju jednom mjesečno u Sustavu državne riznice (evidencijski prihodi). Prihodi koji se u riznici iskazuju evidencijski koriste se za podmirivanje materijalnih rashoda poslovanja i poboljšanje uvjeta života u zatvorima i kaznionicama sukladno zakonskim i podzakonskim propisima. Planirana sredstva su namijenjena za pokriće rashoda vezanih uz obavljanje vlastite djelatnosti te za ulaganja u opremu, uređaje i strojeve potrebne za obavljanje vlastite djelatnosti u radionicama kao i za poboljšanje uvjeta rada zatvorenika.</w:t>
      </w:r>
    </w:p>
    <w:p>
      <w:pPr>
        <w:jc w:val="left"/>
        <w:pStyle w:val="Heading2"/>
      </w:pPr>
      <w:r>
        <w:rPr>
          <w:rFonts w:hAnsi="Times New Roman" w:cs="Times New Roman"/>
        </w:rPr>
        <w:t xml:space="preserve">10920 Vrhovni sud Republike Hrvatske</w:t>
      </w:r>
    </w:p>
    <w:p>
      <w:pPr>
        <w:jc w:val="both"/>
        <w:pStyle w:val="Normal3"/>
      </w:pPr>
      <w:r>
        <w:rPr>
          <w:rFonts w:hAnsi="Times New Roman" w:cs="Times New Roman"/>
        </w:rPr>
        <w:t xml:space="preserve">Sudbenu vlast u Republici Hrvatskoj obavljaju sudovi samostalno i neovisno. Sudovi sude na temelju Ustava i Zakona, međunarodnih ugovora i drugih važećih izvora prava. Najviši sud u Republici Hrvatskoj je Vrhovni sud Republike Hrvatske koji ima Ustavom i zakonom određenu dužnost: osigurava jedinstvenu primjenu prava i ravnopravnost svih u njegovoj primjeni, odlučuje o izvanrednim pravnim lijekovima protiv pravomoćnih odluka sudova u RH i o redovnim pravnim lijekovima kad je to propisano posebnim zakonom, rješava o sukobu nadležnosti kad je to propisano posebnim zakonom, razmatra aktualna pitanja sudske prakse, analizira potrebe za stručnim usavršavanjem sudaca, savjetnika i sudskih vježbenika. Vrhovni sud RH nadzire rad nižih sudova u Republici Hrvatskoj. Posebni cilj sudaca Vrhovnog suda Republike Hrvatske, sudskih savjetnika i sudskih službenika je povećati ažurnost u radu i smanjiti broj neriješenih sudskih predmeta rješavanjem određenog broja sudskih predmeta svake godine, propisanog Okvirnim mjerilima za rad sudova te, posebno, predmeta starijih od 10 godina.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10920-Vrhovni sud Republike Hrvatske</w:t>
            </w:r>
          </w:p>
        </w:tc>
        <w:tc>
          <w:tcPr>
            <w:tcW w:w="1632.96" w:type="dxa"/>
            <w:vAlign w:val="center"/>
          </w:tcPr>
          <w:p>
            <w:pPr>
              <w:jc w:val="both"/>
              <w:pStyle w:val="CellColumn"/>
            </w:pPr>
            <w:r>
              <w:rPr>
                <w:rFonts w:hAnsi="Times New Roman" w:cs="Times New Roman"/>
              </w:rPr>
              <w:t xml:space="preserve">4.859.802</w:t>
            </w:r>
          </w:p>
        </w:tc>
        <w:tc>
          <w:tcPr>
            <w:tcW w:w="1632.96" w:type="dxa"/>
            <w:vAlign w:val="center"/>
          </w:tcPr>
          <w:p>
            <w:pPr>
              <w:jc w:val="both"/>
              <w:pStyle w:val="CellColumn"/>
            </w:pPr>
            <w:r>
              <w:rPr>
                <w:rFonts w:hAnsi="Times New Roman" w:cs="Times New Roman"/>
              </w:rPr>
              <w:t xml:space="preserve">5.807.175</w:t>
            </w:r>
          </w:p>
        </w:tc>
        <w:tc>
          <w:tcPr>
            <w:tcW w:w="1632.96" w:type="dxa"/>
            <w:vAlign w:val="center"/>
          </w:tcPr>
          <w:p>
            <w:pPr>
              <w:jc w:val="both"/>
              <w:pStyle w:val="CellColumn"/>
            </w:pPr>
            <w:r>
              <w:rPr>
                <w:rFonts w:hAnsi="Times New Roman" w:cs="Times New Roman"/>
              </w:rPr>
              <w:t xml:space="preserve">5.818.421</w:t>
            </w:r>
          </w:p>
        </w:tc>
        <w:tc>
          <w:tcPr>
            <w:tcW w:w="1632.96" w:type="dxa"/>
            <w:vAlign w:val="center"/>
          </w:tcPr>
          <w:p>
            <w:pPr>
              <w:jc w:val="both"/>
              <w:pStyle w:val="CellColumn"/>
            </w:pPr>
            <w:r>
              <w:rPr>
                <w:rFonts w:hAnsi="Times New Roman" w:cs="Times New Roman"/>
              </w:rPr>
              <w:t xml:space="preserve">5.886.500</w:t>
            </w:r>
          </w:p>
        </w:tc>
        <w:tc>
          <w:tcPr>
            <w:tcW w:w="1632.96" w:type="dxa"/>
            <w:vAlign w:val="center"/>
          </w:tcPr>
          <w:p>
            <w:pPr>
              <w:jc w:val="both"/>
              <w:pStyle w:val="CellColumn"/>
            </w:pPr>
            <w:r>
              <w:rPr>
                <w:rFonts w:hAnsi="Times New Roman" w:cs="Times New Roman"/>
              </w:rPr>
              <w:t xml:space="preserve">5.913.790</w:t>
            </w:r>
          </w:p>
        </w:tc>
        <w:tc>
          <w:tcPr>
            <w:tcW w:w="510.3" w:type="dxa"/>
            <w:vAlign w:val="center"/>
          </w:tcPr>
          <w:p>
            <w:pPr>
              <w:jc w:val="both"/>
              <w:pStyle w:val="CellColumn"/>
            </w:pPr>
            <w:r>
              <w:rPr>
                <w:rFonts w:hAnsi="Times New Roman" w:cs="Times New Roman"/>
              </w:rPr>
              <w:t xml:space="preserve">100,2</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4.859.802</w:t>
            </w:r>
          </w:p>
        </w:tc>
        <w:tc>
          <w:tcPr>
            <w:tcW w:w="1632.96" w:type="dxa"/>
            <w:vAlign w:val="center"/>
          </w:tcPr>
          <w:p>
            <w:pPr>
              <w:jc w:val="both"/>
              <w:pStyle w:val="CellColumn"/>
            </w:pPr>
            <w:r>
              <w:rPr>
                <w:rFonts w:hAnsi="Times New Roman" w:cs="Times New Roman"/>
              </w:rPr>
              <w:t xml:space="preserve">5.807.175</w:t>
            </w:r>
          </w:p>
        </w:tc>
        <w:tc>
          <w:tcPr>
            <w:tcW w:w="1632.96" w:type="dxa"/>
            <w:vAlign w:val="center"/>
          </w:tcPr>
          <w:p>
            <w:pPr>
              <w:jc w:val="both"/>
              <w:pStyle w:val="CellColumn"/>
            </w:pPr>
            <w:r>
              <w:rPr>
                <w:rFonts w:hAnsi="Times New Roman" w:cs="Times New Roman"/>
              </w:rPr>
              <w:t xml:space="preserve">5.818.421</w:t>
            </w:r>
          </w:p>
        </w:tc>
        <w:tc>
          <w:tcPr>
            <w:tcW w:w="1632.96" w:type="dxa"/>
            <w:vAlign w:val="center"/>
          </w:tcPr>
          <w:p>
            <w:pPr>
              <w:jc w:val="both"/>
              <w:pStyle w:val="CellColumn"/>
            </w:pPr>
            <w:r>
              <w:rPr>
                <w:rFonts w:hAnsi="Times New Roman" w:cs="Times New Roman"/>
              </w:rPr>
              <w:t xml:space="preserve">5.886.500</w:t>
            </w:r>
          </w:p>
        </w:tc>
        <w:tc>
          <w:tcPr>
            <w:tcW w:w="1632.96" w:type="dxa"/>
            <w:vAlign w:val="center"/>
          </w:tcPr>
          <w:p>
            <w:pPr>
              <w:jc w:val="both"/>
              <w:pStyle w:val="CellColumn"/>
            </w:pPr>
            <w:r>
              <w:rPr>
                <w:rFonts w:hAnsi="Times New Roman" w:cs="Times New Roman"/>
              </w:rPr>
              <w:t xml:space="preserve">5.913.790</w:t>
            </w:r>
          </w:p>
        </w:tc>
        <w:tc>
          <w:tcPr>
            <w:tcW w:w="510.3" w:type="dxa"/>
            <w:vAlign w:val="center"/>
          </w:tcPr>
          <w:p>
            <w:pPr>
              <w:jc w:val="both"/>
              <w:pStyle w:val="CellColumn"/>
            </w:pPr>
            <w:r>
              <w:rPr>
                <w:rFonts w:hAnsi="Times New Roman" w:cs="Times New Roman"/>
              </w:rPr>
              <w:t xml:space="preserve">100,2</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predmeta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103</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105</w:t>
            </w:r>
          </w:p>
        </w:tc>
        <w:tc>
          <w:tcPr>
            <w:tcW w:w="918.54" w:type="dxa"/>
            <w:vAlign w:val="center"/>
          </w:tcPr>
          <w:p>
            <w:pPr>
              <w:jc w:val="both"/>
              <w:pStyle w:val="CellColumn"/>
            </w:pPr>
            <w:r>
              <w:rPr>
                <w:rFonts w:hAnsi="Times New Roman" w:cs="Times New Roman"/>
              </w:rPr>
              <w:t xml:space="preserve">105</w:t>
            </w:r>
          </w:p>
        </w:tc>
        <w:tc>
          <w:tcPr>
            <w:tcW w:w="918.54" w:type="dxa"/>
            <w:vAlign w:val="center"/>
          </w:tcPr>
          <w:p>
            <w:pPr>
              <w:jc w:val="both"/>
              <w:pStyle w:val="CellColumn"/>
            </w:pPr>
            <w:r>
              <w:rPr>
                <w:rFonts w:hAnsi="Times New Roman" w:cs="Times New Roman"/>
              </w:rPr>
              <w:t xml:space="preserve">105</w:t>
            </w:r>
          </w:p>
        </w:tc>
      </w:tr>
    </w:tbl>
    <w:p>
      <w:pPr>
        <w:jc w:val="left"/>
      </w:pPr>
      <w:r>
        <w:rPr>
          <w:rFonts w:hAnsi="Times New Roman" w:cs="Times New Roman"/>
        </w:rPr>
        <w:t xml:space="preserve"/>
      </w:r>
    </w:p>
    <w:p>
      <w:pPr>
        <w:jc w:val="left"/>
        <w:pStyle w:val="Heading4"/>
      </w:pPr>
      <w:r>
        <w:rPr>
          <w:rFonts w:hAnsi="Times New Roman" w:cs="Times New Roman"/>
        </w:rPr>
        <w:t xml:space="preserve">A631000 VOĐENJE SUDSKIH POSTUPAKA IZ NADLEŽNOSTI VRHOVNOG SUDA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područjima i sjedištima sudova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A631000-VOĐENJE SUDSKIH POSTUPAKA IZ NADLEŽNOSTI VRHOVNOG SUDA RH</w:t>
            </w:r>
          </w:p>
        </w:tc>
        <w:tc>
          <w:tcPr>
            <w:tcW w:w="1632.96" w:type="dxa"/>
            <w:vAlign w:val="center"/>
          </w:tcPr>
          <w:p>
            <w:pPr>
              <w:jc w:val="both"/>
              <w:pStyle w:val="CellColumn"/>
            </w:pPr>
            <w:r>
              <w:rPr>
                <w:rFonts w:hAnsi="Times New Roman" w:cs="Times New Roman"/>
              </w:rPr>
              <w:t xml:space="preserve">4.859.802</w:t>
            </w:r>
          </w:p>
        </w:tc>
        <w:tc>
          <w:tcPr>
            <w:tcW w:w="1632.96" w:type="dxa"/>
            <w:vAlign w:val="center"/>
          </w:tcPr>
          <w:p>
            <w:pPr>
              <w:jc w:val="both"/>
              <w:pStyle w:val="CellColumn"/>
            </w:pPr>
            <w:r>
              <w:rPr>
                <w:rFonts w:hAnsi="Times New Roman" w:cs="Times New Roman"/>
              </w:rPr>
              <w:t xml:space="preserve">5.807.175</w:t>
            </w:r>
          </w:p>
        </w:tc>
        <w:tc>
          <w:tcPr>
            <w:tcW w:w="1632.96" w:type="dxa"/>
            <w:vAlign w:val="center"/>
          </w:tcPr>
          <w:p>
            <w:pPr>
              <w:jc w:val="both"/>
              <w:pStyle w:val="CellColumn"/>
            </w:pPr>
            <w:r>
              <w:rPr>
                <w:rFonts w:hAnsi="Times New Roman" w:cs="Times New Roman"/>
              </w:rPr>
              <w:t xml:space="preserve">5.818.421</w:t>
            </w:r>
          </w:p>
        </w:tc>
        <w:tc>
          <w:tcPr>
            <w:tcW w:w="1632.96" w:type="dxa"/>
            <w:vAlign w:val="center"/>
          </w:tcPr>
          <w:p>
            <w:pPr>
              <w:jc w:val="both"/>
              <w:pStyle w:val="CellColumn"/>
            </w:pPr>
            <w:r>
              <w:rPr>
                <w:rFonts w:hAnsi="Times New Roman" w:cs="Times New Roman"/>
              </w:rPr>
              <w:t xml:space="preserve">5.886.500</w:t>
            </w:r>
          </w:p>
        </w:tc>
        <w:tc>
          <w:tcPr>
            <w:tcW w:w="1632.96" w:type="dxa"/>
            <w:vAlign w:val="center"/>
          </w:tcPr>
          <w:p>
            <w:pPr>
              <w:jc w:val="both"/>
              <w:pStyle w:val="CellColumn"/>
            </w:pPr>
            <w:r>
              <w:rPr>
                <w:rFonts w:hAnsi="Times New Roman" w:cs="Times New Roman"/>
              </w:rPr>
              <w:t xml:space="preserve">5.913.790</w:t>
            </w:r>
          </w:p>
        </w:tc>
        <w:tc>
          <w:tcPr>
            <w:tcW w:w="510.3" w:type="dxa"/>
            <w:vAlign w:val="center"/>
          </w:tcPr>
          <w:p>
            <w:pPr>
              <w:jc w:val="both"/>
              <w:pStyle w:val="CellColumn"/>
            </w:pPr>
            <w:r>
              <w:rPr>
                <w:rFonts w:hAnsi="Times New Roman" w:cs="Times New Roman"/>
              </w:rPr>
              <w:t xml:space="preserve">100,2</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Vrhovnog suda Republike Hrvatske, u kojem je ukupno 116 zaposlenih, od čega 28 pravosudnih dužnosnika i 88 službenika i namještenika. Od ukupno planiranog iznosa u 2025. na sredstva za plaće i doprinose se odnosi 5.236.301 € (osnovica za obračun plaće pravosudnim dužnosnicima iznosi 787,75 €, uvećana za pripadajući koeficijent i minuli rad, osnovica za obračun plaće službenicima i namještenicima iznosi 947,18 € uvećana za pripadajući koeficijent i minuli rad). Na ostale rashode za zaposlene (prava po Kolektivnom ugovoru) se odnosi 123.557 €, na prijevoz na posao i s posla 115.000 €, dok se ostatak planiranih sredstava odnosi na materijalne izdatke, od kojih se najveći dio odnosi na rashode za energiju u iznosu 54.343 €, uredski materijal u iznosu 41.808 €, rashode za poštu i telefon u iznosu 36.989 €. Od ukupno planiranog iznosa u 2026. na sredstva za plaće i doprinose odnosi se 5.262.328 €, na ostale rashode za zaposlene (prava po Kolektivnom ugovoru) 115.712 €, na prijevoz na posao i s posla 115.000 €, dok se ostatak sredstava odnosi na materijalne izdatke, gdje su najveći iznosi iskazani  na istim stavkama rashoda kao i u prethodnoj godini. Od ukupno planiranog iznosa u 2027. na sredstva za plaće i doprinose se odnosi 5.288.013 €, na ostale rashode za zaposlene (prava po Kolektivnom ugovoru) 112.677 €, na prijevoz na posao i s posla 115.000 €, dok se ostatak sredstava odnosi na materijalne izdatke u kojima su najveći iznosi iskazani na istim stavkama rashoda kao i u prethodnoj godini. U 2026. i 2027. godini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 sudskih predmeta</w:t>
            </w:r>
          </w:p>
        </w:tc>
        <w:tc>
          <w:tcPr>
            <w:tcW w:w="918.54" w:type="dxa"/>
            <w:vAlign w:val="center"/>
          </w:tcPr>
          <w:p>
            <w:pPr>
              <w:jc w:val="both"/>
              <w:pStyle w:val="CellColumn"/>
            </w:pPr>
            <w:r>
              <w:rPr>
                <w:rFonts w:hAnsi="Times New Roman" w:cs="Times New Roman"/>
              </w:rPr>
              <w:t xml:space="preserve">8.000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8.000</w:t>
            </w:r>
          </w:p>
        </w:tc>
        <w:tc>
          <w:tcPr>
            <w:tcW w:w="918.54" w:type="dxa"/>
            <w:vAlign w:val="center"/>
          </w:tcPr>
          <w:p>
            <w:pPr>
              <w:jc w:val="both"/>
              <w:pStyle w:val="CellColumn"/>
            </w:pPr>
            <w:r>
              <w:rPr>
                <w:rFonts w:hAnsi="Times New Roman" w:cs="Times New Roman"/>
              </w:rPr>
              <w:t xml:space="preserve">7.000</w:t>
            </w:r>
          </w:p>
        </w:tc>
        <w:tc>
          <w:tcPr>
            <w:tcW w:w="918.54" w:type="dxa"/>
            <w:vAlign w:val="center"/>
          </w:tcPr>
          <w:p>
            <w:pPr>
              <w:jc w:val="both"/>
              <w:pStyle w:val="CellColumn"/>
            </w:pPr>
            <w:r>
              <w:rPr>
                <w:rFonts w:hAnsi="Times New Roman" w:cs="Times New Roman"/>
              </w:rPr>
              <w:t xml:space="preserve">7.000</w:t>
            </w:r>
          </w:p>
        </w:tc>
      </w:tr>
    </w:tbl>
    <w:p>
      <w:pPr>
        <w:jc w:val="left"/>
      </w:pPr>
      <w:r>
        <w:rPr>
          <w:rFonts w:hAnsi="Times New Roman" w:cs="Times New Roman"/>
        </w:rPr>
        <w:t xml:space="preserve"/>
      </w:r>
    </w:p>
    <w:p>
      <w:pPr>
        <w:jc w:val="left"/>
        <w:pStyle w:val="Heading2"/>
      </w:pPr>
      <w:r>
        <w:rPr>
          <w:rFonts w:hAnsi="Times New Roman" w:cs="Times New Roman"/>
        </w:rPr>
        <w:t xml:space="preserve">10925 Visoki trgovački sud Republike Hrvatske</w:t>
      </w:r>
    </w:p>
    <w:p>
      <w:pPr>
        <w:jc w:val="both"/>
        <w:pStyle w:val="Normal3"/>
      </w:pPr>
      <w:r>
        <w:rPr>
          <w:rFonts w:hAnsi="Times New Roman" w:cs="Times New Roman"/>
        </w:rPr>
        <w:t xml:space="preserve">Ustroj, djelokrug i nadležnost Visokog trgovačkog suda Republike Hrvatske propisan je Zakonom o sudovima te odredbama drugih propisa, a ustanovljen je za područje Republike Hrvatske sa sjedištem u Zagrebu. Visoki trgovački sud Republike Hrvatske je specijalizirani sud koji odlučuje o žalbama protiv odluka trgovačkih sudova donesenih u prvom stupnju, rješava sukob mjesne nadležnosti između trgovačkih sudova, odlučuje o delegaciji nadležnosti između trgovačkih sudova i obavlja druge poslove određene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10925-Visoki trgovački sud Republike Hrvatske</w:t>
            </w:r>
          </w:p>
        </w:tc>
        <w:tc>
          <w:tcPr>
            <w:tcW w:w="1632.96" w:type="dxa"/>
            <w:vAlign w:val="center"/>
          </w:tcPr>
          <w:p>
            <w:pPr>
              <w:jc w:val="both"/>
              <w:pStyle w:val="CellColumn"/>
            </w:pPr>
            <w:r>
              <w:rPr>
                <w:rFonts w:hAnsi="Times New Roman" w:cs="Times New Roman"/>
              </w:rPr>
              <w:t xml:space="preserve">3.126.549</w:t>
            </w:r>
          </w:p>
        </w:tc>
        <w:tc>
          <w:tcPr>
            <w:tcW w:w="1632.96" w:type="dxa"/>
            <w:vAlign w:val="center"/>
          </w:tcPr>
          <w:p>
            <w:pPr>
              <w:jc w:val="both"/>
              <w:pStyle w:val="CellColumn"/>
            </w:pPr>
            <w:r>
              <w:rPr>
                <w:rFonts w:hAnsi="Times New Roman" w:cs="Times New Roman"/>
              </w:rPr>
              <w:t xml:space="preserve">3.616.338</w:t>
            </w:r>
          </w:p>
        </w:tc>
        <w:tc>
          <w:tcPr>
            <w:tcW w:w="1632.96" w:type="dxa"/>
            <w:vAlign w:val="center"/>
          </w:tcPr>
          <w:p>
            <w:pPr>
              <w:jc w:val="both"/>
              <w:pStyle w:val="CellColumn"/>
            </w:pPr>
            <w:r>
              <w:rPr>
                <w:rFonts w:hAnsi="Times New Roman" w:cs="Times New Roman"/>
              </w:rPr>
              <w:t xml:space="preserve">3.704.235</w:t>
            </w:r>
          </w:p>
        </w:tc>
        <w:tc>
          <w:tcPr>
            <w:tcW w:w="1632.96" w:type="dxa"/>
            <w:vAlign w:val="center"/>
          </w:tcPr>
          <w:p>
            <w:pPr>
              <w:jc w:val="both"/>
              <w:pStyle w:val="CellColumn"/>
            </w:pPr>
            <w:r>
              <w:rPr>
                <w:rFonts w:hAnsi="Times New Roman" w:cs="Times New Roman"/>
              </w:rPr>
              <w:t xml:space="preserve">3.757.467</w:t>
            </w:r>
          </w:p>
        </w:tc>
        <w:tc>
          <w:tcPr>
            <w:tcW w:w="1632.96" w:type="dxa"/>
            <w:vAlign w:val="center"/>
          </w:tcPr>
          <w:p>
            <w:pPr>
              <w:jc w:val="both"/>
              <w:pStyle w:val="CellColumn"/>
            </w:pPr>
            <w:r>
              <w:rPr>
                <w:rFonts w:hAnsi="Times New Roman" w:cs="Times New Roman"/>
              </w:rPr>
              <w:t xml:space="preserve">3.780.559</w:t>
            </w:r>
          </w:p>
        </w:tc>
        <w:tc>
          <w:tcPr>
            <w:tcW w:w="510.3" w:type="dxa"/>
            <w:vAlign w:val="center"/>
          </w:tcPr>
          <w:p>
            <w:pPr>
              <w:jc w:val="both"/>
              <w:pStyle w:val="CellColumn"/>
            </w:pPr>
            <w:r>
              <w:rPr>
                <w:rFonts w:hAnsi="Times New Roman" w:cs="Times New Roman"/>
              </w:rPr>
              <w:t xml:space="preserve">102,4</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3.126.549</w:t>
            </w:r>
          </w:p>
        </w:tc>
        <w:tc>
          <w:tcPr>
            <w:tcW w:w="1632.96" w:type="dxa"/>
            <w:vAlign w:val="center"/>
          </w:tcPr>
          <w:p>
            <w:pPr>
              <w:jc w:val="both"/>
              <w:pStyle w:val="CellColumn"/>
            </w:pPr>
            <w:r>
              <w:rPr>
                <w:rFonts w:hAnsi="Times New Roman" w:cs="Times New Roman"/>
              </w:rPr>
              <w:t xml:space="preserve">3.616.338</w:t>
            </w:r>
          </w:p>
        </w:tc>
        <w:tc>
          <w:tcPr>
            <w:tcW w:w="1632.96" w:type="dxa"/>
            <w:vAlign w:val="center"/>
          </w:tcPr>
          <w:p>
            <w:pPr>
              <w:jc w:val="both"/>
              <w:pStyle w:val="CellColumn"/>
            </w:pPr>
            <w:r>
              <w:rPr>
                <w:rFonts w:hAnsi="Times New Roman" w:cs="Times New Roman"/>
              </w:rPr>
              <w:t xml:space="preserve">3.704.235</w:t>
            </w:r>
          </w:p>
        </w:tc>
        <w:tc>
          <w:tcPr>
            <w:tcW w:w="1632.96" w:type="dxa"/>
            <w:vAlign w:val="center"/>
          </w:tcPr>
          <w:p>
            <w:pPr>
              <w:jc w:val="both"/>
              <w:pStyle w:val="CellColumn"/>
            </w:pPr>
            <w:r>
              <w:rPr>
                <w:rFonts w:hAnsi="Times New Roman" w:cs="Times New Roman"/>
              </w:rPr>
              <w:t xml:space="preserve">3.757.467</w:t>
            </w:r>
          </w:p>
        </w:tc>
        <w:tc>
          <w:tcPr>
            <w:tcW w:w="1632.96" w:type="dxa"/>
            <w:vAlign w:val="center"/>
          </w:tcPr>
          <w:p>
            <w:pPr>
              <w:jc w:val="both"/>
              <w:pStyle w:val="CellColumn"/>
            </w:pPr>
            <w:r>
              <w:rPr>
                <w:rFonts w:hAnsi="Times New Roman" w:cs="Times New Roman"/>
              </w:rPr>
              <w:t xml:space="preserve">3.780.559</w:t>
            </w:r>
          </w:p>
        </w:tc>
        <w:tc>
          <w:tcPr>
            <w:tcW w:w="510.3" w:type="dxa"/>
            <w:vAlign w:val="center"/>
          </w:tcPr>
          <w:p>
            <w:pPr>
              <w:jc w:val="both"/>
              <w:pStyle w:val="CellColumn"/>
            </w:pPr>
            <w:r>
              <w:rPr>
                <w:rFonts w:hAnsi="Times New Roman" w:cs="Times New Roman"/>
              </w:rPr>
              <w:t xml:space="preserve">102,4</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predmeta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117</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103</w:t>
            </w:r>
          </w:p>
        </w:tc>
        <w:tc>
          <w:tcPr>
            <w:tcW w:w="918.54" w:type="dxa"/>
            <w:vAlign w:val="center"/>
          </w:tcPr>
          <w:p>
            <w:pPr>
              <w:jc w:val="both"/>
              <w:pStyle w:val="CellColumn"/>
            </w:pPr>
            <w:r>
              <w:rPr>
                <w:rFonts w:hAnsi="Times New Roman" w:cs="Times New Roman"/>
              </w:rPr>
              <w:t xml:space="preserve">105</w:t>
            </w:r>
          </w:p>
        </w:tc>
        <w:tc>
          <w:tcPr>
            <w:tcW w:w="918.54" w:type="dxa"/>
            <w:vAlign w:val="center"/>
          </w:tcPr>
          <w:p>
            <w:pPr>
              <w:jc w:val="both"/>
              <w:pStyle w:val="CellColumn"/>
            </w:pPr>
            <w:r>
              <w:rPr>
                <w:rFonts w:hAnsi="Times New Roman" w:cs="Times New Roman"/>
              </w:rPr>
              <w:t xml:space="preserve">105</w:t>
            </w:r>
          </w:p>
        </w:tc>
      </w:tr>
    </w:tbl>
    <w:p>
      <w:pPr>
        <w:jc w:val="left"/>
      </w:pPr>
      <w:r>
        <w:rPr>
          <w:rFonts w:hAnsi="Times New Roman" w:cs="Times New Roman"/>
        </w:rPr>
        <w:t xml:space="preserve"/>
      </w:r>
    </w:p>
    <w:p>
      <w:pPr>
        <w:jc w:val="left"/>
        <w:pStyle w:val="Heading4"/>
      </w:pPr>
      <w:r>
        <w:rPr>
          <w:rFonts w:hAnsi="Times New Roman" w:cs="Times New Roman"/>
        </w:rPr>
        <w:t xml:space="preserve">A632000 VOĐENJE SUDSKIH POSTUPAKA IZ NADLEŽNOSTI VISOKOG TRGOVAČKOG SUDA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područjima i sjedištima sudova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A632000-VOĐENJE SUDSKIH POSTUPAKA IZ NADLEŽNOSTI VISOKOG TRGOVAČKOG SUDA RH</w:t>
            </w:r>
          </w:p>
        </w:tc>
        <w:tc>
          <w:tcPr>
            <w:tcW w:w="1632.96" w:type="dxa"/>
            <w:vAlign w:val="center"/>
          </w:tcPr>
          <w:p>
            <w:pPr>
              <w:jc w:val="both"/>
              <w:pStyle w:val="CellColumn"/>
            </w:pPr>
            <w:r>
              <w:rPr>
                <w:rFonts w:hAnsi="Times New Roman" w:cs="Times New Roman"/>
              </w:rPr>
              <w:t xml:space="preserve">3.126.549</w:t>
            </w:r>
          </w:p>
        </w:tc>
        <w:tc>
          <w:tcPr>
            <w:tcW w:w="1632.96" w:type="dxa"/>
            <w:vAlign w:val="center"/>
          </w:tcPr>
          <w:p>
            <w:pPr>
              <w:jc w:val="both"/>
              <w:pStyle w:val="CellColumn"/>
            </w:pPr>
            <w:r>
              <w:rPr>
                <w:rFonts w:hAnsi="Times New Roman" w:cs="Times New Roman"/>
              </w:rPr>
              <w:t xml:space="preserve">3.616.338</w:t>
            </w:r>
          </w:p>
        </w:tc>
        <w:tc>
          <w:tcPr>
            <w:tcW w:w="1632.96" w:type="dxa"/>
            <w:vAlign w:val="center"/>
          </w:tcPr>
          <w:p>
            <w:pPr>
              <w:jc w:val="both"/>
              <w:pStyle w:val="CellColumn"/>
            </w:pPr>
            <w:r>
              <w:rPr>
                <w:rFonts w:hAnsi="Times New Roman" w:cs="Times New Roman"/>
              </w:rPr>
              <w:t xml:space="preserve">3.704.235</w:t>
            </w:r>
          </w:p>
        </w:tc>
        <w:tc>
          <w:tcPr>
            <w:tcW w:w="1632.96" w:type="dxa"/>
            <w:vAlign w:val="center"/>
          </w:tcPr>
          <w:p>
            <w:pPr>
              <w:jc w:val="both"/>
              <w:pStyle w:val="CellColumn"/>
            </w:pPr>
            <w:r>
              <w:rPr>
                <w:rFonts w:hAnsi="Times New Roman" w:cs="Times New Roman"/>
              </w:rPr>
              <w:t xml:space="preserve">3.757.467</w:t>
            </w:r>
          </w:p>
        </w:tc>
        <w:tc>
          <w:tcPr>
            <w:tcW w:w="1632.96" w:type="dxa"/>
            <w:vAlign w:val="center"/>
          </w:tcPr>
          <w:p>
            <w:pPr>
              <w:jc w:val="both"/>
              <w:pStyle w:val="CellColumn"/>
            </w:pPr>
            <w:r>
              <w:rPr>
                <w:rFonts w:hAnsi="Times New Roman" w:cs="Times New Roman"/>
              </w:rPr>
              <w:t xml:space="preserve">3.780.559</w:t>
            </w:r>
          </w:p>
        </w:tc>
        <w:tc>
          <w:tcPr>
            <w:tcW w:w="510.3" w:type="dxa"/>
            <w:vAlign w:val="center"/>
          </w:tcPr>
          <w:p>
            <w:pPr>
              <w:jc w:val="both"/>
              <w:pStyle w:val="CellColumn"/>
            </w:pPr>
            <w:r>
              <w:rPr>
                <w:rFonts w:hAnsi="Times New Roman" w:cs="Times New Roman"/>
              </w:rPr>
              <w:t xml:space="preserve">102,4</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Visokog trgovačkog suda Republike Hrvatske u kojem je ukupno 81 zaposleni, od čega 29 pravosudnih dužnosnika i 52 službenika i namještenika. Od ukupno planiranog iznosa u 2025. na sredstva za plaće i doprinose odnosi se 3.387.980 € (osnovica za obračun plaće pravosudnim dužnosnicima iznosi 787,85 € uvećana za pripadajući koeficijent i minuli rad, osnovica za obračun plaće službenicima i namještenicima iznosi 947,18 € uvećana za pripadajući koeficijent i minuli rad). Ostali rashodi za zaposlene (prava po Kolektivnom ugovoru) iznose  72.000 €, naknade za prijevoz na posao i s posla 62.000 €, dok se ostatak sredstava odnosi na materijalne izdatke, u kojima se najveći iznosi iskazuju na rashodima za energiji u iznosu 40.000 €, rashodima za uredski materijal u iznosu 30.000 € te na rashodima za službena putovanja u iznosu 30.000 €. Od ukupno planiranog iznosa u 2026. na sredstva za plaće i doprinose se odnosi 3.430.817 €, na ostale rashode za zaposlene (prava po Kolektivnom ugovoru) 70.000 €, na naknade za prijevoz na posao i s posla 62.000 €, dok se ostatak sredstava odnosi na materijalne izdatke u kojima se najveći iznosi iskazuju na istim stavkama rashoda kao i u prethodnoj godini. Od ukupno planiranog iznosa u 2027. na sredstva za plaće i doprinose se odnosi 3.462.939 €, na ostale rashode za zaposlene (prava po Kolektivnom ugovoru) 74.000 €, na naknade za prijevoz na posao i s posla  62.000 €, dok se ostatak sredstava odnosi na materijalne izdatke u kojima se najveći iznosi iskazuju na istim stavkama rashoda kao i u prethodnoj godini. U 2026. i 2027. godini sredstva za zaposlene uvećana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900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2.500</w:t>
            </w:r>
          </w:p>
        </w:tc>
        <w:tc>
          <w:tcPr>
            <w:tcW w:w="918.54" w:type="dxa"/>
            <w:vAlign w:val="center"/>
          </w:tcPr>
          <w:p>
            <w:pPr>
              <w:jc w:val="both"/>
              <w:pStyle w:val="CellColumn"/>
            </w:pPr>
            <w:r>
              <w:rPr>
                <w:rFonts w:hAnsi="Times New Roman" w:cs="Times New Roman"/>
              </w:rPr>
              <w:t xml:space="preserve">2.300</w:t>
            </w:r>
          </w:p>
        </w:tc>
        <w:tc>
          <w:tcPr>
            <w:tcW w:w="918.54" w:type="dxa"/>
            <w:vAlign w:val="center"/>
          </w:tcPr>
          <w:p>
            <w:pPr>
              <w:jc w:val="both"/>
              <w:pStyle w:val="CellColumn"/>
            </w:pPr>
            <w:r>
              <w:rPr>
                <w:rFonts w:hAnsi="Times New Roman" w:cs="Times New Roman"/>
              </w:rPr>
              <w:t xml:space="preserve">2.100</w:t>
            </w:r>
          </w:p>
        </w:tc>
      </w:tr>
    </w:tbl>
    <w:p>
      <w:pPr>
        <w:jc w:val="left"/>
      </w:pPr>
      <w:r>
        <w:rPr>
          <w:rFonts w:hAnsi="Times New Roman" w:cs="Times New Roman"/>
        </w:rPr>
        <w:t xml:space="preserve"/>
      </w:r>
    </w:p>
    <w:p>
      <w:pPr>
        <w:jc w:val="left"/>
        <w:pStyle w:val="Heading2"/>
      </w:pPr>
      <w:r>
        <w:rPr>
          <w:rFonts w:hAnsi="Times New Roman" w:cs="Times New Roman"/>
        </w:rPr>
        <w:t xml:space="preserve">10930 Visoki upravni sud Republike Hrvatske</w:t>
      </w:r>
    </w:p>
    <w:p>
      <w:pPr>
        <w:jc w:val="both"/>
        <w:pStyle w:val="Normal3"/>
      </w:pPr>
      <w:r>
        <w:rPr>
          <w:rFonts w:hAnsi="Times New Roman" w:cs="Times New Roman"/>
        </w:rPr>
        <w:t xml:space="preserve">Visoki upravni sud Republike Hrvatske, kao specijalizirani sud sa sjedištem u Zagrebu, odlučuje o žalbama protiv presuda upravnih sudova i rješenja protiv kojih je dopuštena žalba, odlučuje o zakonitosti općih akata, odlučuje o sukobu nadležnosti između upravnih sudova i u drugim zakonom propisanim slučajevima.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10930-Visoki upravni sud Republike Hrvatske</w:t>
            </w:r>
          </w:p>
        </w:tc>
        <w:tc>
          <w:tcPr>
            <w:tcW w:w="1632.96" w:type="dxa"/>
            <w:vAlign w:val="center"/>
          </w:tcPr>
          <w:p>
            <w:pPr>
              <w:jc w:val="both"/>
              <w:pStyle w:val="CellColumn"/>
            </w:pPr>
            <w:r>
              <w:rPr>
                <w:rFonts w:hAnsi="Times New Roman" w:cs="Times New Roman"/>
              </w:rPr>
              <w:t xml:space="preserve">2.717.772</w:t>
            </w:r>
          </w:p>
        </w:tc>
        <w:tc>
          <w:tcPr>
            <w:tcW w:w="1632.96" w:type="dxa"/>
            <w:vAlign w:val="center"/>
          </w:tcPr>
          <w:p>
            <w:pPr>
              <w:jc w:val="both"/>
              <w:pStyle w:val="CellColumn"/>
            </w:pPr>
            <w:r>
              <w:rPr>
                <w:rFonts w:hAnsi="Times New Roman" w:cs="Times New Roman"/>
              </w:rPr>
              <w:t xml:space="preserve">3.451.670</w:t>
            </w:r>
          </w:p>
        </w:tc>
        <w:tc>
          <w:tcPr>
            <w:tcW w:w="1632.96" w:type="dxa"/>
            <w:vAlign w:val="center"/>
          </w:tcPr>
          <w:p>
            <w:pPr>
              <w:jc w:val="both"/>
              <w:pStyle w:val="CellColumn"/>
            </w:pPr>
            <w:r>
              <w:rPr>
                <w:rFonts w:hAnsi="Times New Roman" w:cs="Times New Roman"/>
              </w:rPr>
              <w:t xml:space="preserve">3.348.480</w:t>
            </w:r>
          </w:p>
        </w:tc>
        <w:tc>
          <w:tcPr>
            <w:tcW w:w="1632.96" w:type="dxa"/>
            <w:vAlign w:val="center"/>
          </w:tcPr>
          <w:p>
            <w:pPr>
              <w:jc w:val="both"/>
              <w:pStyle w:val="CellColumn"/>
            </w:pPr>
            <w:r>
              <w:rPr>
                <w:rFonts w:hAnsi="Times New Roman" w:cs="Times New Roman"/>
              </w:rPr>
              <w:t xml:space="preserve">3.352.787</w:t>
            </w:r>
          </w:p>
        </w:tc>
        <w:tc>
          <w:tcPr>
            <w:tcW w:w="1632.96" w:type="dxa"/>
            <w:vAlign w:val="center"/>
          </w:tcPr>
          <w:p>
            <w:pPr>
              <w:jc w:val="both"/>
              <w:pStyle w:val="CellColumn"/>
            </w:pPr>
            <w:r>
              <w:rPr>
                <w:rFonts w:hAnsi="Times New Roman" w:cs="Times New Roman"/>
              </w:rPr>
              <w:t xml:space="preserve">3.362.096</w:t>
            </w:r>
          </w:p>
        </w:tc>
        <w:tc>
          <w:tcPr>
            <w:tcW w:w="510.3" w:type="dxa"/>
            <w:vAlign w:val="center"/>
          </w:tcPr>
          <w:p>
            <w:pPr>
              <w:jc w:val="both"/>
              <w:pStyle w:val="CellColumn"/>
            </w:pPr>
            <w:r>
              <w:rPr>
                <w:rFonts w:hAnsi="Times New Roman" w:cs="Times New Roman"/>
              </w:rPr>
              <w:t xml:space="preserve">97,0</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2.717.772</w:t>
            </w:r>
          </w:p>
        </w:tc>
        <w:tc>
          <w:tcPr>
            <w:tcW w:w="1632.96" w:type="dxa"/>
            <w:vAlign w:val="center"/>
          </w:tcPr>
          <w:p>
            <w:pPr>
              <w:jc w:val="both"/>
              <w:pStyle w:val="CellColumn"/>
            </w:pPr>
            <w:r>
              <w:rPr>
                <w:rFonts w:hAnsi="Times New Roman" w:cs="Times New Roman"/>
              </w:rPr>
              <w:t xml:space="preserve">3.451.670</w:t>
            </w:r>
          </w:p>
        </w:tc>
        <w:tc>
          <w:tcPr>
            <w:tcW w:w="1632.96" w:type="dxa"/>
            <w:vAlign w:val="center"/>
          </w:tcPr>
          <w:p>
            <w:pPr>
              <w:jc w:val="both"/>
              <w:pStyle w:val="CellColumn"/>
            </w:pPr>
            <w:r>
              <w:rPr>
                <w:rFonts w:hAnsi="Times New Roman" w:cs="Times New Roman"/>
              </w:rPr>
              <w:t xml:space="preserve">3.348.480</w:t>
            </w:r>
          </w:p>
        </w:tc>
        <w:tc>
          <w:tcPr>
            <w:tcW w:w="1632.96" w:type="dxa"/>
            <w:vAlign w:val="center"/>
          </w:tcPr>
          <w:p>
            <w:pPr>
              <w:jc w:val="both"/>
              <w:pStyle w:val="CellColumn"/>
            </w:pPr>
            <w:r>
              <w:rPr>
                <w:rFonts w:hAnsi="Times New Roman" w:cs="Times New Roman"/>
              </w:rPr>
              <w:t xml:space="preserve">3.352.787</w:t>
            </w:r>
          </w:p>
        </w:tc>
        <w:tc>
          <w:tcPr>
            <w:tcW w:w="1632.96" w:type="dxa"/>
            <w:vAlign w:val="center"/>
          </w:tcPr>
          <w:p>
            <w:pPr>
              <w:jc w:val="both"/>
              <w:pStyle w:val="CellColumn"/>
            </w:pPr>
            <w:r>
              <w:rPr>
                <w:rFonts w:hAnsi="Times New Roman" w:cs="Times New Roman"/>
              </w:rPr>
              <w:t xml:space="preserve">3.362.096</w:t>
            </w:r>
          </w:p>
        </w:tc>
        <w:tc>
          <w:tcPr>
            <w:tcW w:w="510.3" w:type="dxa"/>
            <w:vAlign w:val="center"/>
          </w:tcPr>
          <w:p>
            <w:pPr>
              <w:jc w:val="both"/>
              <w:pStyle w:val="CellColumn"/>
            </w:pPr>
            <w:r>
              <w:rPr>
                <w:rFonts w:hAnsi="Times New Roman" w:cs="Times New Roman"/>
              </w:rPr>
              <w:t xml:space="preserve">97,0</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predmeta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109</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104</w:t>
            </w:r>
          </w:p>
        </w:tc>
        <w:tc>
          <w:tcPr>
            <w:tcW w:w="918.54" w:type="dxa"/>
            <w:vAlign w:val="center"/>
          </w:tcPr>
          <w:p>
            <w:pPr>
              <w:jc w:val="both"/>
              <w:pStyle w:val="CellColumn"/>
            </w:pPr>
            <w:r>
              <w:rPr>
                <w:rFonts w:hAnsi="Times New Roman" w:cs="Times New Roman"/>
              </w:rPr>
              <w:t xml:space="preserve">106</w:t>
            </w:r>
          </w:p>
        </w:tc>
        <w:tc>
          <w:tcPr>
            <w:tcW w:w="918.54" w:type="dxa"/>
            <w:vAlign w:val="center"/>
          </w:tcPr>
          <w:p>
            <w:pPr>
              <w:jc w:val="both"/>
              <w:pStyle w:val="CellColumn"/>
            </w:pPr>
            <w:r>
              <w:rPr>
                <w:rFonts w:hAnsi="Times New Roman" w:cs="Times New Roman"/>
              </w:rPr>
              <w:t xml:space="preserve">106</w:t>
            </w:r>
          </w:p>
        </w:tc>
      </w:tr>
    </w:tbl>
    <w:p>
      <w:pPr>
        <w:jc w:val="left"/>
      </w:pPr>
      <w:r>
        <w:rPr>
          <w:rFonts w:hAnsi="Times New Roman" w:cs="Times New Roman"/>
        </w:rPr>
        <w:t xml:space="preserve"/>
      </w:r>
    </w:p>
    <w:p>
      <w:pPr>
        <w:jc w:val="left"/>
        <w:pStyle w:val="Heading4"/>
      </w:pPr>
      <w:r>
        <w:rPr>
          <w:rFonts w:hAnsi="Times New Roman" w:cs="Times New Roman"/>
        </w:rPr>
        <w:t xml:space="preserve">A633000 VOĐENJE SUDSKIH POSTUPAKA IZ NADLEŽNOSTI VISOKOG UPRAVNOG SUDA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upravnim sporovima, Zakon o sudovima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A633000-VOĐENJE SUDSKIH POSTUPAKA IZ NADLEŽNOSTI VISOKOG UPRAVNOG SUDA RH</w:t>
            </w:r>
          </w:p>
        </w:tc>
        <w:tc>
          <w:tcPr>
            <w:tcW w:w="1632.96" w:type="dxa"/>
            <w:vAlign w:val="center"/>
          </w:tcPr>
          <w:p>
            <w:pPr>
              <w:jc w:val="both"/>
              <w:pStyle w:val="CellColumn"/>
            </w:pPr>
            <w:r>
              <w:rPr>
                <w:rFonts w:hAnsi="Times New Roman" w:cs="Times New Roman"/>
              </w:rPr>
              <w:t xml:space="preserve">2.717.772</w:t>
            </w:r>
          </w:p>
        </w:tc>
        <w:tc>
          <w:tcPr>
            <w:tcW w:w="1632.96" w:type="dxa"/>
            <w:vAlign w:val="center"/>
          </w:tcPr>
          <w:p>
            <w:pPr>
              <w:jc w:val="both"/>
              <w:pStyle w:val="CellColumn"/>
            </w:pPr>
            <w:r>
              <w:rPr>
                <w:rFonts w:hAnsi="Times New Roman" w:cs="Times New Roman"/>
              </w:rPr>
              <w:t xml:space="preserve">3.451.670</w:t>
            </w:r>
          </w:p>
        </w:tc>
        <w:tc>
          <w:tcPr>
            <w:tcW w:w="1632.96" w:type="dxa"/>
            <w:vAlign w:val="center"/>
          </w:tcPr>
          <w:p>
            <w:pPr>
              <w:jc w:val="both"/>
              <w:pStyle w:val="CellColumn"/>
            </w:pPr>
            <w:r>
              <w:rPr>
                <w:rFonts w:hAnsi="Times New Roman" w:cs="Times New Roman"/>
              </w:rPr>
              <w:t xml:space="preserve">3.348.480</w:t>
            </w:r>
          </w:p>
        </w:tc>
        <w:tc>
          <w:tcPr>
            <w:tcW w:w="1632.96" w:type="dxa"/>
            <w:vAlign w:val="center"/>
          </w:tcPr>
          <w:p>
            <w:pPr>
              <w:jc w:val="both"/>
              <w:pStyle w:val="CellColumn"/>
            </w:pPr>
            <w:r>
              <w:rPr>
                <w:rFonts w:hAnsi="Times New Roman" w:cs="Times New Roman"/>
              </w:rPr>
              <w:t xml:space="preserve">3.352.787</w:t>
            </w:r>
          </w:p>
        </w:tc>
        <w:tc>
          <w:tcPr>
            <w:tcW w:w="1632.96" w:type="dxa"/>
            <w:vAlign w:val="center"/>
          </w:tcPr>
          <w:p>
            <w:pPr>
              <w:jc w:val="both"/>
              <w:pStyle w:val="CellColumn"/>
            </w:pPr>
            <w:r>
              <w:rPr>
                <w:rFonts w:hAnsi="Times New Roman" w:cs="Times New Roman"/>
              </w:rPr>
              <w:t xml:space="preserve">3.362.096</w:t>
            </w:r>
          </w:p>
        </w:tc>
        <w:tc>
          <w:tcPr>
            <w:tcW w:w="510.3" w:type="dxa"/>
            <w:vAlign w:val="center"/>
          </w:tcPr>
          <w:p>
            <w:pPr>
              <w:jc w:val="both"/>
              <w:pStyle w:val="CellColumn"/>
            </w:pPr>
            <w:r>
              <w:rPr>
                <w:rFonts w:hAnsi="Times New Roman" w:cs="Times New Roman"/>
              </w:rPr>
              <w:t xml:space="preserve">97,0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Visokog upravnog suda Republike Hrvatske u kojem je ukupno 73 zaposlenih, od čega 20 pravosudnih dužnosnika i 53 službenika i namještenika. Od ukupno planiranog iznosa u 2025. na sredstva za plaće i doprinose odnosi se 2.979.480 € (osnovica za obračun plaće pravosudnim dužnosnicima iznosi 787,75 € uvećana za pripadajući koeficijent i minuli rad, osnovica za obračun plaće službenicima i namještenicima iznosi 947,18 € uvećana za pripadajući koeficijent i minuli rad). Ostali rashodi za zaposlene (prava po Kolektivnom ugovoru) iznose 70.000 €, naknade za prijevoz na posao i s posla 72.000 €, dok se ostatak planiranih sredstava odnosi na materijalne izdatke u kojima se najveći iznosi iskazuju na energiji 44.000 €, uredskom materijalu 28.000 €, uslugama pošte i telefona 25.000 € i komunalnim uslugama 23.000 €. Od ukupno planiranog iznosa u 2026. na sredstva za plaće i doprinose odnosi se 2.986.687 €, na ostale rashode za zaposlene (prava po Kolektivnom ugovoru) 70.000 €, na naknade za prijevoz na posao i s posla 72.000 €, dok se ostatak sredstava odnosi na materijalne izdatke u kojima se najveći iznosi iskazuju na istim stavkama rashoda kao i u prethodnoj godini. Od ukupno planiranog iznosa u 2027. na sredstva za plaće i doprinose odnosi se 2.991.946 €, na ostale rashode za zaposlene (prava po Kolektivnom ugovoru) 70.000 €, na prijevoz na posao i s posla 72.000 €, dok se ostatak sredstava odnosi na materijalne izdatke u kojima se najveći iznosi iskazuju na istim stavkama rashoda kao i u prethodnoj godini. U 2026. i 2027. godini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3.000</w:t>
            </w:r>
          </w:p>
        </w:tc>
        <w:tc>
          <w:tcPr>
            <w:tcW w:w="918.54" w:type="dxa"/>
            <w:vAlign w:val="center"/>
          </w:tcPr>
          <w:p>
            <w:pPr>
              <w:jc w:val="both"/>
              <w:pStyle w:val="CellColumn"/>
            </w:pPr>
            <w:r>
              <w:rPr>
                <w:rFonts w:hAnsi="Times New Roman" w:cs="Times New Roman"/>
              </w:rPr>
              <w:t xml:space="preserve">2.800</w:t>
            </w:r>
          </w:p>
        </w:tc>
        <w:tc>
          <w:tcPr>
            <w:tcW w:w="918.54" w:type="dxa"/>
            <w:vAlign w:val="center"/>
          </w:tcPr>
          <w:p>
            <w:pPr>
              <w:jc w:val="both"/>
              <w:pStyle w:val="CellColumn"/>
            </w:pPr>
            <w:r>
              <w:rPr>
                <w:rFonts w:hAnsi="Times New Roman" w:cs="Times New Roman"/>
              </w:rPr>
              <w:t xml:space="preserve">2.500</w:t>
            </w:r>
          </w:p>
        </w:tc>
      </w:tr>
    </w:tbl>
    <w:p>
      <w:pPr>
        <w:jc w:val="left"/>
      </w:pPr>
      <w:r>
        <w:rPr>
          <w:rFonts w:hAnsi="Times New Roman" w:cs="Times New Roman"/>
        </w:rPr>
        <w:t xml:space="preserve"/>
      </w:r>
    </w:p>
    <w:p>
      <w:pPr>
        <w:jc w:val="left"/>
        <w:pStyle w:val="Heading2"/>
      </w:pPr>
      <w:r>
        <w:rPr>
          <w:rFonts w:hAnsi="Times New Roman" w:cs="Times New Roman"/>
        </w:rPr>
        <w:t xml:space="preserve">10935 Upravni sudovi</w:t>
      </w:r>
    </w:p>
    <w:p>
      <w:pPr>
        <w:jc w:val="both"/>
        <w:pStyle w:val="Normal3"/>
      </w:pPr>
      <w:r>
        <w:rPr>
          <w:rFonts w:hAnsi="Times New Roman" w:cs="Times New Roman"/>
        </w:rPr>
        <w:t xml:space="preserve">Upravni sudovi započeli su sa radom 1. siječnja 2012. godine, temeljem Zakona o upravnim sporovima, a radi uspostave sustava dvostupanjskog upravnog sudovanja u Republici Hrvatskoj, sa svrhom osiguranja pune jurisdikcije Visokog upravnog suda Republike Hrvatske i usklađivanja s pravnim standardima Europske unije u zaštiti ljudskih prava i temeljnih sloboda. Na području RH djeluju četiri upravna suda i to u: Zagrebu, Splitu, Rijeci i Osijeku, a odlučuju o tužbama protiv pojedinačnih odluka javnopravnih tijela, odlučuju o tužbama protiv postupanja javnopravnih tijela, odlučuju o tužbama zbog propuštanja donošenja pojedinačne odluke ili postupanja javnopravnog tijela u zakonom propisanom roku, odlučuju o tužbama protiv upravnih ugovora i izvršavanja upravnih ugovora i u drugim zakonom propisanim slučajevima. Daljnjim razvojem upravnih sudova nastojat će se poboljšati kvaliteta upravnog spora, ujednačiti sudska praksa, stvoriti stabilno pravno okruženje, a sucima pružiti kvalitetniji procesni okvir za postupanje. Navedeno će rezultirati većom učinkovitošću, kraćim trajanjem postupka i smanjenjem broja neriješenih upravnih predmeta.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10935-Upravni sudovi</w:t>
            </w:r>
          </w:p>
        </w:tc>
        <w:tc>
          <w:tcPr>
            <w:tcW w:w="1632.96" w:type="dxa"/>
            <w:vAlign w:val="center"/>
          </w:tcPr>
          <w:p>
            <w:pPr>
              <w:jc w:val="both"/>
              <w:pStyle w:val="CellColumn"/>
            </w:pPr>
            <w:r>
              <w:rPr>
                <w:rFonts w:hAnsi="Times New Roman" w:cs="Times New Roman"/>
              </w:rPr>
              <w:t xml:space="preserve">3.847.297</w:t>
            </w:r>
          </w:p>
        </w:tc>
        <w:tc>
          <w:tcPr>
            <w:tcW w:w="1632.96" w:type="dxa"/>
            <w:vAlign w:val="center"/>
          </w:tcPr>
          <w:p>
            <w:pPr>
              <w:jc w:val="both"/>
              <w:pStyle w:val="CellColumn"/>
            </w:pPr>
            <w:r>
              <w:rPr>
                <w:rFonts w:hAnsi="Times New Roman" w:cs="Times New Roman"/>
              </w:rPr>
              <w:t xml:space="preserve">5.160.874</w:t>
            </w:r>
          </w:p>
        </w:tc>
        <w:tc>
          <w:tcPr>
            <w:tcW w:w="1632.96" w:type="dxa"/>
            <w:vAlign w:val="center"/>
          </w:tcPr>
          <w:p>
            <w:pPr>
              <w:jc w:val="both"/>
              <w:pStyle w:val="CellColumn"/>
            </w:pPr>
            <w:r>
              <w:rPr>
                <w:rFonts w:hAnsi="Times New Roman" w:cs="Times New Roman"/>
              </w:rPr>
              <w:t xml:space="preserve">5.172.009</w:t>
            </w:r>
          </w:p>
        </w:tc>
        <w:tc>
          <w:tcPr>
            <w:tcW w:w="1632.96" w:type="dxa"/>
            <w:vAlign w:val="center"/>
          </w:tcPr>
          <w:p>
            <w:pPr>
              <w:jc w:val="both"/>
              <w:pStyle w:val="CellColumn"/>
            </w:pPr>
            <w:r>
              <w:rPr>
                <w:rFonts w:hAnsi="Times New Roman" w:cs="Times New Roman"/>
              </w:rPr>
              <w:t xml:space="preserve">5.223.857</w:t>
            </w:r>
          </w:p>
        </w:tc>
        <w:tc>
          <w:tcPr>
            <w:tcW w:w="1632.96" w:type="dxa"/>
            <w:vAlign w:val="center"/>
          </w:tcPr>
          <w:p>
            <w:pPr>
              <w:jc w:val="both"/>
              <w:pStyle w:val="CellColumn"/>
            </w:pPr>
            <w:r>
              <w:rPr>
                <w:rFonts w:hAnsi="Times New Roman" w:cs="Times New Roman"/>
              </w:rPr>
              <w:t xml:space="preserve">5.236.478</w:t>
            </w:r>
          </w:p>
        </w:tc>
        <w:tc>
          <w:tcPr>
            <w:tcW w:w="510.3" w:type="dxa"/>
            <w:vAlign w:val="center"/>
          </w:tcPr>
          <w:p>
            <w:pPr>
              <w:jc w:val="both"/>
              <w:pStyle w:val="CellColumn"/>
            </w:pPr>
            <w:r>
              <w:rPr>
                <w:rFonts w:hAnsi="Times New Roman" w:cs="Times New Roman"/>
              </w:rPr>
              <w:t xml:space="preserve">100,2</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3.847.297</w:t>
            </w:r>
          </w:p>
        </w:tc>
        <w:tc>
          <w:tcPr>
            <w:tcW w:w="1632.96" w:type="dxa"/>
            <w:vAlign w:val="center"/>
          </w:tcPr>
          <w:p>
            <w:pPr>
              <w:jc w:val="both"/>
              <w:pStyle w:val="CellColumn"/>
            </w:pPr>
            <w:r>
              <w:rPr>
                <w:rFonts w:hAnsi="Times New Roman" w:cs="Times New Roman"/>
              </w:rPr>
              <w:t xml:space="preserve">5.160.874</w:t>
            </w:r>
          </w:p>
        </w:tc>
        <w:tc>
          <w:tcPr>
            <w:tcW w:w="1632.96" w:type="dxa"/>
            <w:vAlign w:val="center"/>
          </w:tcPr>
          <w:p>
            <w:pPr>
              <w:jc w:val="both"/>
              <w:pStyle w:val="CellColumn"/>
            </w:pPr>
            <w:r>
              <w:rPr>
                <w:rFonts w:hAnsi="Times New Roman" w:cs="Times New Roman"/>
              </w:rPr>
              <w:t xml:space="preserve">5.172.009</w:t>
            </w:r>
          </w:p>
        </w:tc>
        <w:tc>
          <w:tcPr>
            <w:tcW w:w="1632.96" w:type="dxa"/>
            <w:vAlign w:val="center"/>
          </w:tcPr>
          <w:p>
            <w:pPr>
              <w:jc w:val="both"/>
              <w:pStyle w:val="CellColumn"/>
            </w:pPr>
            <w:r>
              <w:rPr>
                <w:rFonts w:hAnsi="Times New Roman" w:cs="Times New Roman"/>
              </w:rPr>
              <w:t xml:space="preserve">5.223.857</w:t>
            </w:r>
          </w:p>
        </w:tc>
        <w:tc>
          <w:tcPr>
            <w:tcW w:w="1632.96" w:type="dxa"/>
            <w:vAlign w:val="center"/>
          </w:tcPr>
          <w:p>
            <w:pPr>
              <w:jc w:val="both"/>
              <w:pStyle w:val="CellColumn"/>
            </w:pPr>
            <w:r>
              <w:rPr>
                <w:rFonts w:hAnsi="Times New Roman" w:cs="Times New Roman"/>
              </w:rPr>
              <w:t xml:space="preserve">5.236.478</w:t>
            </w:r>
          </w:p>
        </w:tc>
        <w:tc>
          <w:tcPr>
            <w:tcW w:w="510.3" w:type="dxa"/>
            <w:vAlign w:val="center"/>
          </w:tcPr>
          <w:p>
            <w:pPr>
              <w:jc w:val="both"/>
              <w:pStyle w:val="CellColumn"/>
            </w:pPr>
            <w:r>
              <w:rPr>
                <w:rFonts w:hAnsi="Times New Roman" w:cs="Times New Roman"/>
              </w:rPr>
              <w:t xml:space="preserve">100,2</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106</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102</w:t>
            </w:r>
          </w:p>
        </w:tc>
        <w:tc>
          <w:tcPr>
            <w:tcW w:w="918.54" w:type="dxa"/>
            <w:vAlign w:val="center"/>
          </w:tcPr>
          <w:p>
            <w:pPr>
              <w:jc w:val="both"/>
              <w:pStyle w:val="CellColumn"/>
            </w:pPr>
            <w:r>
              <w:rPr>
                <w:rFonts w:hAnsi="Times New Roman" w:cs="Times New Roman"/>
              </w:rPr>
              <w:t xml:space="preserve">105</w:t>
            </w:r>
          </w:p>
        </w:tc>
        <w:tc>
          <w:tcPr>
            <w:tcW w:w="918.54" w:type="dxa"/>
            <w:vAlign w:val="center"/>
          </w:tcPr>
          <w:p>
            <w:pPr>
              <w:jc w:val="both"/>
              <w:pStyle w:val="CellColumn"/>
            </w:pPr>
            <w:r>
              <w:rPr>
                <w:rFonts w:hAnsi="Times New Roman" w:cs="Times New Roman"/>
              </w:rPr>
              <w:t xml:space="preserve">107</w:t>
            </w:r>
          </w:p>
        </w:tc>
      </w:tr>
    </w:tbl>
    <w:p>
      <w:pPr>
        <w:jc w:val="left"/>
      </w:pPr>
      <w:r>
        <w:rPr>
          <w:rFonts w:hAnsi="Times New Roman" w:cs="Times New Roman"/>
        </w:rPr>
        <w:t xml:space="preserve"/>
      </w:r>
    </w:p>
    <w:p>
      <w:pPr>
        <w:jc w:val="left"/>
        <w:pStyle w:val="Heading4"/>
      </w:pPr>
      <w:r>
        <w:rPr>
          <w:rFonts w:hAnsi="Times New Roman" w:cs="Times New Roman"/>
        </w:rPr>
        <w:t xml:space="preserve">A851001 VOĐENJE SUDSKIH POSTUPAKA IZ NADLEŽNOSTI UPRAVNIH SUDOVA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upravnim sporovima, Zakon o sudovima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A851001-VOĐENJE SUDSKIH POSTUPAKA IZ NADLEŽNOSTI UPRAVNIH SUDOVA</w:t>
            </w:r>
          </w:p>
        </w:tc>
        <w:tc>
          <w:tcPr>
            <w:tcW w:w="1632.96" w:type="dxa"/>
            <w:vAlign w:val="center"/>
          </w:tcPr>
          <w:p>
            <w:pPr>
              <w:jc w:val="both"/>
              <w:pStyle w:val="CellColumn"/>
            </w:pPr>
            <w:r>
              <w:rPr>
                <w:rFonts w:hAnsi="Times New Roman" w:cs="Times New Roman"/>
              </w:rPr>
              <w:t xml:space="preserve">3.847.297</w:t>
            </w:r>
          </w:p>
        </w:tc>
        <w:tc>
          <w:tcPr>
            <w:tcW w:w="1632.96" w:type="dxa"/>
            <w:vAlign w:val="center"/>
          </w:tcPr>
          <w:p>
            <w:pPr>
              <w:jc w:val="both"/>
              <w:pStyle w:val="CellColumn"/>
            </w:pPr>
            <w:r>
              <w:rPr>
                <w:rFonts w:hAnsi="Times New Roman" w:cs="Times New Roman"/>
              </w:rPr>
              <w:t xml:space="preserve">5.160.874</w:t>
            </w:r>
          </w:p>
        </w:tc>
        <w:tc>
          <w:tcPr>
            <w:tcW w:w="1632.96" w:type="dxa"/>
            <w:vAlign w:val="center"/>
          </w:tcPr>
          <w:p>
            <w:pPr>
              <w:jc w:val="both"/>
              <w:pStyle w:val="CellColumn"/>
            </w:pPr>
            <w:r>
              <w:rPr>
                <w:rFonts w:hAnsi="Times New Roman" w:cs="Times New Roman"/>
              </w:rPr>
              <w:t xml:space="preserve">5.172.009</w:t>
            </w:r>
          </w:p>
        </w:tc>
        <w:tc>
          <w:tcPr>
            <w:tcW w:w="1632.96" w:type="dxa"/>
            <w:vAlign w:val="center"/>
          </w:tcPr>
          <w:p>
            <w:pPr>
              <w:jc w:val="both"/>
              <w:pStyle w:val="CellColumn"/>
            </w:pPr>
            <w:r>
              <w:rPr>
                <w:rFonts w:hAnsi="Times New Roman" w:cs="Times New Roman"/>
              </w:rPr>
              <w:t xml:space="preserve">5.223.857</w:t>
            </w:r>
          </w:p>
        </w:tc>
        <w:tc>
          <w:tcPr>
            <w:tcW w:w="1632.96" w:type="dxa"/>
            <w:vAlign w:val="center"/>
          </w:tcPr>
          <w:p>
            <w:pPr>
              <w:jc w:val="both"/>
              <w:pStyle w:val="CellColumn"/>
            </w:pPr>
            <w:r>
              <w:rPr>
                <w:rFonts w:hAnsi="Times New Roman" w:cs="Times New Roman"/>
              </w:rPr>
              <w:t xml:space="preserve">5.236.478</w:t>
            </w:r>
          </w:p>
        </w:tc>
        <w:tc>
          <w:tcPr>
            <w:tcW w:w="510.3" w:type="dxa"/>
            <w:vAlign w:val="center"/>
          </w:tcPr>
          <w:p>
            <w:pPr>
              <w:jc w:val="both"/>
              <w:pStyle w:val="CellColumn"/>
            </w:pPr>
            <w:r>
              <w:rPr>
                <w:rFonts w:hAnsi="Times New Roman" w:cs="Times New Roman"/>
              </w:rPr>
              <w:t xml:space="preserve">100,2</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financiranje rashoda za zaposlene i materijalnih rashoda potrebnih za redovan rad Upravnih sudova Republike Hrvatske u kojima je ukupno 146 zaposlenih od čega 47 pravosudnih dužnosnika i 99 službenika i namještenika. Od ukupno planiranog iznosa u 2025. na sredstva za plaće i doprinose odnosi se 4.180.089 € (osnovica za obračun plaće pravosudnim dužnosnicima iznosi 787,75 € uvećana za pripadajući koeficijent i minuli rad, osnovica za obračun plaće službenicima i namještenicima iznosi 902,08 € uvećana za pripadajući koeficijent i minuli rad). Ostali rashodi za zaposlene (prava po Kolektivnom ugovoru) iznose 124.573 €, naknade za prijevoz na posao i s posla 120.042 €, dok se ostatak planiranih sredstava odnosi na materijalne izdatke u kojima se najveći iznosi iskazuju na rashodima za energiju 220.990 €, rashodima za uredski materijal 73.979 €, uslugama pošte i telefona 140.025 € i komunalnim uslugama 84.490 €. Od ukupno planiranog iznosa u 2026. godini na sredstva za plaće i doprinose odnosi se 4.224.187 €, na ostale rashode za zaposlene (prava po Kolektivnom ugovoru) 130.146 €, na prijevoz na posao i s posla 120.382 €, dok se ostatak sredstava odnosi na materijalne izdatke u kojima se najveći iznosi iskazuju na istim stavkama rashoda kao i u prethodnoj godini. Od ukupno planiranog iznosa u 2027. godini na sredstva za plaće i doprinose odnosi se 4.235.766 €, na ostale rashode za zaposlene (prava po Kolektivnom ugovoru) 133.840 €, na prijevoz na posao i s posla  120.726 €, dok se ostatak sredstava odnosi na materijalne izdatke u kojima se najveći iznosi iskazuju na istim stavkama rashoda kao i u prethodnoj godini. U 2026. i 2027. godini planirana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4.300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7.000</w:t>
            </w:r>
          </w:p>
        </w:tc>
        <w:tc>
          <w:tcPr>
            <w:tcW w:w="918.54" w:type="dxa"/>
            <w:vAlign w:val="center"/>
          </w:tcPr>
          <w:p>
            <w:pPr>
              <w:jc w:val="both"/>
              <w:pStyle w:val="CellColumn"/>
            </w:pPr>
            <w:r>
              <w:rPr>
                <w:rFonts w:hAnsi="Times New Roman" w:cs="Times New Roman"/>
              </w:rPr>
              <w:t xml:space="preserve">6.000</w:t>
            </w:r>
          </w:p>
        </w:tc>
        <w:tc>
          <w:tcPr>
            <w:tcW w:w="918.54" w:type="dxa"/>
            <w:vAlign w:val="center"/>
          </w:tcPr>
          <w:p>
            <w:pPr>
              <w:jc w:val="both"/>
              <w:pStyle w:val="CellColumn"/>
            </w:pPr>
            <w:r>
              <w:rPr>
                <w:rFonts w:hAnsi="Times New Roman" w:cs="Times New Roman"/>
              </w:rPr>
              <w:t xml:space="preserve">5.500</w:t>
            </w:r>
          </w:p>
        </w:tc>
      </w:tr>
    </w:tbl>
    <w:p>
      <w:pPr>
        <w:jc w:val="left"/>
      </w:pPr>
      <w:r>
        <w:rPr>
          <w:rFonts w:hAnsi="Times New Roman" w:cs="Times New Roman"/>
        </w:rPr>
        <w:t xml:space="preserve"/>
      </w:r>
    </w:p>
    <w:p>
      <w:pPr>
        <w:jc w:val="left"/>
        <w:pStyle w:val="Heading2"/>
      </w:pPr>
      <w:r>
        <w:rPr>
          <w:rFonts w:hAnsi="Times New Roman" w:cs="Times New Roman"/>
        </w:rPr>
        <w:t xml:space="preserve">10940 Državno odvjetništvo Republike Hrvatske</w:t>
      </w:r>
    </w:p>
    <w:p>
      <w:pPr>
        <w:jc w:val="both"/>
        <w:pStyle w:val="Normal3"/>
      </w:pPr>
      <w:r>
        <w:rPr>
          <w:rFonts w:hAnsi="Times New Roman" w:cs="Times New Roman"/>
        </w:rPr>
        <w:t xml:space="preserve">Državno odvjetništvo Republike Hrvatske zastupa Republiku Hrvatsku, poduzima pravne radnje iz svoje nadležnosti radi zaštite Ustava i zakonitosti pred Ustavnim sudom Republike Hrvatske, poduzima radnje iz svoje nadležnosti pred Vrhovnim sudom RH, Visokim upravnim sudom RH, Visokim trgovačkim sudom RH, Visokim prekršajnim sudom RH, međunarodnim te stranim sudskim i drugim tijelima. Državno odvjetništvo Republike Hrvatske, na čelu s Glavnim državnim odvjetnikom, vodi nadzor nad radom cjelokupne državnoodvjetničke organizacije, a posebice skrbi o urednom i pravodobnom obavljanju poslova u državnom odvjetništvu, obavlja poslove vezane uz predstavke i pritužbe na rad Državnog odvjetništva, skrbi o stručnom usavršavanju državnih odvjetnika, zamjenika državnih odvjetnika, savjetnika, vježbenika i drugih službenika i namještenika u državnom odvjetništvu, vodi statistiku te obavlja i druge poslove propisane Zakonom i Poslovnikom državnog odvjetništva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10940-Državno odvjetništvo Republike Hrvatske</w:t>
            </w:r>
          </w:p>
        </w:tc>
        <w:tc>
          <w:tcPr>
            <w:tcW w:w="1632.96" w:type="dxa"/>
            <w:vAlign w:val="center"/>
          </w:tcPr>
          <w:p>
            <w:pPr>
              <w:jc w:val="both"/>
              <w:pStyle w:val="CellColumn"/>
            </w:pPr>
            <w:r>
              <w:rPr>
                <w:rFonts w:hAnsi="Times New Roman" w:cs="Times New Roman"/>
              </w:rPr>
              <w:t xml:space="preserve">7.020.831</w:t>
            </w:r>
          </w:p>
        </w:tc>
        <w:tc>
          <w:tcPr>
            <w:tcW w:w="1632.96" w:type="dxa"/>
            <w:vAlign w:val="center"/>
          </w:tcPr>
          <w:p>
            <w:pPr>
              <w:jc w:val="both"/>
              <w:pStyle w:val="CellColumn"/>
            </w:pPr>
            <w:r>
              <w:rPr>
                <w:rFonts w:hAnsi="Times New Roman" w:cs="Times New Roman"/>
              </w:rPr>
              <w:t xml:space="preserve">9.757.746</w:t>
            </w:r>
          </w:p>
        </w:tc>
        <w:tc>
          <w:tcPr>
            <w:tcW w:w="1632.96" w:type="dxa"/>
            <w:vAlign w:val="center"/>
          </w:tcPr>
          <w:p>
            <w:pPr>
              <w:jc w:val="both"/>
              <w:pStyle w:val="CellColumn"/>
            </w:pPr>
            <w:r>
              <w:rPr>
                <w:rFonts w:hAnsi="Times New Roman" w:cs="Times New Roman"/>
              </w:rPr>
              <w:t xml:space="preserve">14.166.780</w:t>
            </w:r>
          </w:p>
        </w:tc>
        <w:tc>
          <w:tcPr>
            <w:tcW w:w="1632.96" w:type="dxa"/>
            <w:vAlign w:val="center"/>
          </w:tcPr>
          <w:p>
            <w:pPr>
              <w:jc w:val="both"/>
              <w:pStyle w:val="CellColumn"/>
            </w:pPr>
            <w:r>
              <w:rPr>
                <w:rFonts w:hAnsi="Times New Roman" w:cs="Times New Roman"/>
              </w:rPr>
              <w:t xml:space="preserve">12.407.873</w:t>
            </w:r>
          </w:p>
        </w:tc>
        <w:tc>
          <w:tcPr>
            <w:tcW w:w="1632.96" w:type="dxa"/>
            <w:vAlign w:val="center"/>
          </w:tcPr>
          <w:p>
            <w:pPr>
              <w:jc w:val="both"/>
              <w:pStyle w:val="CellColumn"/>
            </w:pPr>
            <w:r>
              <w:rPr>
                <w:rFonts w:hAnsi="Times New Roman" w:cs="Times New Roman"/>
              </w:rPr>
              <w:t xml:space="preserve">12.409.943</w:t>
            </w:r>
          </w:p>
        </w:tc>
        <w:tc>
          <w:tcPr>
            <w:tcW w:w="510.3" w:type="dxa"/>
            <w:vAlign w:val="center"/>
          </w:tcPr>
          <w:p>
            <w:pPr>
              <w:jc w:val="both"/>
              <w:pStyle w:val="CellColumn"/>
            </w:pPr>
            <w:r>
              <w:rPr>
                <w:rFonts w:hAnsi="Times New Roman" w:cs="Times New Roman"/>
              </w:rPr>
              <w:t xml:space="preserve">145,2</w:t>
            </w:r>
          </w:p>
        </w:tc>
      </w:tr>
    </w:tbl>
    <w:p>
      <w:pPr>
        <w:jc w:val="left"/>
      </w:pPr>
      <w:r>
        <w:rPr>
          <w:rFonts w:hAnsi="Times New Roman" w:cs="Times New Roman"/>
        </w:rPr>
        <w:t xml:space="preserve"/>
      </w:r>
    </w:p>
    <w:p>
      <w:pPr>
        <w:jc w:val="left"/>
        <w:pStyle w:val="Heading3"/>
      </w:pPr>
      <w:r>
        <w:rPr>
          <w:rFonts w:hAnsi="Times New Roman" w:cs="Times New Roman"/>
        </w:rPr>
        <w:t xml:space="preserve">2812 DJELOVANJE DRŽAVNIH ODVJETNIŠTAVA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2812-DJELOVANJE DRŽAVNIH ODVJETNIŠTAVA</w:t>
            </w:r>
          </w:p>
        </w:tc>
        <w:tc>
          <w:tcPr>
            <w:tcW w:w="1632.96" w:type="dxa"/>
            <w:vAlign w:val="center"/>
          </w:tcPr>
          <w:p>
            <w:pPr>
              <w:jc w:val="both"/>
              <w:pStyle w:val="CellColumn"/>
            </w:pPr>
            <w:r>
              <w:rPr>
                <w:rFonts w:hAnsi="Times New Roman" w:cs="Times New Roman"/>
              </w:rPr>
              <w:t xml:space="preserve">7.020.831</w:t>
            </w:r>
          </w:p>
        </w:tc>
        <w:tc>
          <w:tcPr>
            <w:tcW w:w="1632.96" w:type="dxa"/>
            <w:vAlign w:val="center"/>
          </w:tcPr>
          <w:p>
            <w:pPr>
              <w:jc w:val="both"/>
              <w:pStyle w:val="CellColumn"/>
            </w:pPr>
            <w:r>
              <w:rPr>
                <w:rFonts w:hAnsi="Times New Roman" w:cs="Times New Roman"/>
              </w:rPr>
              <w:t xml:space="preserve">9.757.746</w:t>
            </w:r>
          </w:p>
        </w:tc>
        <w:tc>
          <w:tcPr>
            <w:tcW w:w="1632.96" w:type="dxa"/>
            <w:vAlign w:val="center"/>
          </w:tcPr>
          <w:p>
            <w:pPr>
              <w:jc w:val="both"/>
              <w:pStyle w:val="CellColumn"/>
            </w:pPr>
            <w:r>
              <w:rPr>
                <w:rFonts w:hAnsi="Times New Roman" w:cs="Times New Roman"/>
              </w:rPr>
              <w:t xml:space="preserve">14.166.780</w:t>
            </w:r>
          </w:p>
        </w:tc>
        <w:tc>
          <w:tcPr>
            <w:tcW w:w="1632.96" w:type="dxa"/>
            <w:vAlign w:val="center"/>
          </w:tcPr>
          <w:p>
            <w:pPr>
              <w:jc w:val="both"/>
              <w:pStyle w:val="CellColumn"/>
            </w:pPr>
            <w:r>
              <w:rPr>
                <w:rFonts w:hAnsi="Times New Roman" w:cs="Times New Roman"/>
              </w:rPr>
              <w:t xml:space="preserve">12.407.873</w:t>
            </w:r>
          </w:p>
        </w:tc>
        <w:tc>
          <w:tcPr>
            <w:tcW w:w="1632.96" w:type="dxa"/>
            <w:vAlign w:val="center"/>
          </w:tcPr>
          <w:p>
            <w:pPr>
              <w:jc w:val="both"/>
              <w:pStyle w:val="CellColumn"/>
            </w:pPr>
            <w:r>
              <w:rPr>
                <w:rFonts w:hAnsi="Times New Roman" w:cs="Times New Roman"/>
              </w:rPr>
              <w:t xml:space="preserve">12.409.943</w:t>
            </w:r>
          </w:p>
        </w:tc>
        <w:tc>
          <w:tcPr>
            <w:tcW w:w="510.3" w:type="dxa"/>
            <w:vAlign w:val="center"/>
          </w:tcPr>
          <w:p>
            <w:pPr>
              <w:jc w:val="both"/>
              <w:pStyle w:val="CellColumn"/>
            </w:pPr>
            <w:r>
              <w:rPr>
                <w:rFonts w:hAnsi="Times New Roman" w:cs="Times New Roman"/>
              </w:rPr>
              <w:t xml:space="preserve">145,2</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učinkovitosti pravosuđa</w:t>
      </w:r>
    </w:p>
    <w:p>
      <w:pPr>
        <w:jc w:val="left"/>
        <w:pStyle w:val="Heading4"/>
      </w:pPr>
      <w:r>
        <w:rPr>
          <w:rFonts w:hAnsi="Times New Roman" w:cs="Times New Roman"/>
        </w:rPr>
        <w:t xml:space="preserve">A629262 SURADNJA REPUBLIKE HRVATSKE I EUROJUST-A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Sporazum o suradnji između Republike Hrvatske i EUROJUST-a potpisan 9.11.2007.</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A629262-SURADNJA REPUBLIKE HRVATSKE I EUROJUST-A</w:t>
            </w:r>
          </w:p>
        </w:tc>
        <w:tc>
          <w:tcPr>
            <w:tcW w:w="1632.96" w:type="dxa"/>
            <w:vAlign w:val="center"/>
          </w:tcPr>
          <w:p>
            <w:pPr>
              <w:jc w:val="both"/>
              <w:pStyle w:val="CellColumn"/>
            </w:pPr>
            <w:r>
              <w:rPr>
                <w:rFonts w:hAnsi="Times New Roman" w:cs="Times New Roman"/>
              </w:rPr>
              <w:t xml:space="preserve">39.728</w:t>
            </w:r>
          </w:p>
        </w:tc>
        <w:tc>
          <w:tcPr>
            <w:tcW w:w="1632.96" w:type="dxa"/>
            <w:vAlign w:val="center"/>
          </w:tcPr>
          <w:p>
            <w:pPr>
              <w:jc w:val="both"/>
              <w:pStyle w:val="CellColumn"/>
            </w:pPr>
            <w:r>
              <w:rPr>
                <w:rFonts w:hAnsi="Times New Roman" w:cs="Times New Roman"/>
              </w:rPr>
              <w:t xml:space="preserve">69.900</w:t>
            </w:r>
          </w:p>
        </w:tc>
        <w:tc>
          <w:tcPr>
            <w:tcW w:w="1632.96" w:type="dxa"/>
            <w:vAlign w:val="center"/>
          </w:tcPr>
          <w:p>
            <w:pPr>
              <w:jc w:val="both"/>
              <w:pStyle w:val="CellColumn"/>
            </w:pPr>
            <w:r>
              <w:rPr>
                <w:rFonts w:hAnsi="Times New Roman" w:cs="Times New Roman"/>
              </w:rPr>
              <w:t xml:space="preserve">135.100</w:t>
            </w:r>
          </w:p>
        </w:tc>
        <w:tc>
          <w:tcPr>
            <w:tcW w:w="1632.96" w:type="dxa"/>
            <w:vAlign w:val="center"/>
          </w:tcPr>
          <w:p>
            <w:pPr>
              <w:jc w:val="both"/>
              <w:pStyle w:val="CellColumn"/>
            </w:pPr>
            <w:r>
              <w:rPr>
                <w:rFonts w:hAnsi="Times New Roman" w:cs="Times New Roman"/>
              </w:rPr>
              <w:t xml:space="preserve">135.600</w:t>
            </w:r>
          </w:p>
        </w:tc>
        <w:tc>
          <w:tcPr>
            <w:tcW w:w="1632.96" w:type="dxa"/>
            <w:vAlign w:val="center"/>
          </w:tcPr>
          <w:p>
            <w:pPr>
              <w:jc w:val="both"/>
              <w:pStyle w:val="CellColumn"/>
            </w:pPr>
            <w:r>
              <w:rPr>
                <w:rFonts w:hAnsi="Times New Roman" w:cs="Times New Roman"/>
              </w:rPr>
              <w:t xml:space="preserve">135.600</w:t>
            </w:r>
          </w:p>
        </w:tc>
        <w:tc>
          <w:tcPr>
            <w:tcW w:w="510.3" w:type="dxa"/>
            <w:vAlign w:val="center"/>
          </w:tcPr>
          <w:p>
            <w:pPr>
              <w:jc w:val="both"/>
              <w:pStyle w:val="CellColumn"/>
            </w:pPr>
            <w:r>
              <w:rPr>
                <w:rFonts w:hAnsi="Times New Roman" w:cs="Times New Roman"/>
              </w:rPr>
              <w:t xml:space="preserve">193,3</w:t>
            </w:r>
          </w:p>
        </w:tc>
      </w:tr>
    </w:tbl>
    <w:p>
      <w:pPr>
        <w:jc w:val="left"/>
      </w:pPr>
      <w:r>
        <w:rPr>
          <w:rFonts w:hAnsi="Times New Roman" w:cs="Times New Roman"/>
        </w:rPr>
        <w:t xml:space="preserve"/>
      </w:r>
    </w:p>
    <w:p>
      <w:pPr>
        <w:jc w:val="both"/>
        <w:pStyle w:val="Normal"/>
      </w:pPr>
      <w:r>
        <w:rPr>
          <w:rFonts w:hAnsi="Times New Roman" w:cs="Times New Roman"/>
        </w:rPr>
        <w:t xml:space="preserve">Sredstvima planiranim u okviru ove aktivnosti financira se rad Ureda sa sjedištem u Den Haagu i sudjelovanje u aktivnostima European Judicial Network-a. Najveći dio sredstava planiran je za podmirenje troškova službenih putovanja predstavnika Republike Hrvatske u EUROJUST-u u Haagu te za troškove najma stana, a ostala planirana sredstva se odnose na usluge telefona i ostale režijske troškove za stan koji koristi predstavnik RH u EUROJUST-u, intelektualne, usluge prijevoda te nabavu uredskog materijala.</w:t>
      </w:r>
    </w:p>
    <w:p>
      <w:pPr>
        <w:jc w:val="left"/>
        <w:pStyle w:val="Heading4"/>
      </w:pPr>
      <w:r>
        <w:rPr>
          <w:rFonts w:hAnsi="Times New Roman" w:cs="Times New Roman"/>
        </w:rPr>
        <w:t xml:space="preserve">A634000 PROGON POČINITELJA KAZNENIH DJELA, ZAŠTITA IMOVINE RH I PODNOŠENJE PRAVNIH SREDSTAVA ZA ZAŠTITU ZAKONITOSTI</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odvjetništvu, Zakon o Uredu za suzbijanje korupcije i organiziranog kriminaliteta, Zakon o područjima i sjedištima državnih odvjetništava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A634000-PROGON POČINITELJA KAZNENIH DJELA, ZAŠTITA IMOVINE RH I PODNOŠENJE PRAVNIH SREDSTAVA ZA ZAŠTITU ZAKONITOSTI</w:t>
            </w:r>
          </w:p>
        </w:tc>
        <w:tc>
          <w:tcPr>
            <w:tcW w:w="1632.96" w:type="dxa"/>
            <w:vAlign w:val="center"/>
          </w:tcPr>
          <w:p>
            <w:pPr>
              <w:jc w:val="both"/>
              <w:pStyle w:val="CellColumn"/>
            </w:pPr>
            <w:r>
              <w:rPr>
                <w:rFonts w:hAnsi="Times New Roman" w:cs="Times New Roman"/>
              </w:rPr>
              <w:t xml:space="preserve">3.265.724</w:t>
            </w:r>
          </w:p>
        </w:tc>
        <w:tc>
          <w:tcPr>
            <w:tcW w:w="1632.96" w:type="dxa"/>
            <w:vAlign w:val="center"/>
          </w:tcPr>
          <w:p>
            <w:pPr>
              <w:jc w:val="both"/>
              <w:pStyle w:val="CellColumn"/>
            </w:pPr>
            <w:r>
              <w:rPr>
                <w:rFonts w:hAnsi="Times New Roman" w:cs="Times New Roman"/>
              </w:rPr>
              <w:t xml:space="preserve">4.091.046</w:t>
            </w:r>
          </w:p>
        </w:tc>
        <w:tc>
          <w:tcPr>
            <w:tcW w:w="1632.96" w:type="dxa"/>
            <w:vAlign w:val="center"/>
          </w:tcPr>
          <w:p>
            <w:pPr>
              <w:jc w:val="both"/>
              <w:pStyle w:val="CellColumn"/>
            </w:pPr>
            <w:r>
              <w:rPr>
                <w:rFonts w:hAnsi="Times New Roman" w:cs="Times New Roman"/>
              </w:rPr>
              <w:t xml:space="preserve">4.399.880</w:t>
            </w:r>
          </w:p>
        </w:tc>
        <w:tc>
          <w:tcPr>
            <w:tcW w:w="1632.96" w:type="dxa"/>
            <w:vAlign w:val="center"/>
          </w:tcPr>
          <w:p>
            <w:pPr>
              <w:jc w:val="both"/>
              <w:pStyle w:val="CellColumn"/>
            </w:pPr>
            <w:r>
              <w:rPr>
                <w:rFonts w:hAnsi="Times New Roman" w:cs="Times New Roman"/>
              </w:rPr>
              <w:t xml:space="preserve">4.409.973</w:t>
            </w:r>
          </w:p>
        </w:tc>
        <w:tc>
          <w:tcPr>
            <w:tcW w:w="1632.96" w:type="dxa"/>
            <w:vAlign w:val="center"/>
          </w:tcPr>
          <w:p>
            <w:pPr>
              <w:jc w:val="both"/>
              <w:pStyle w:val="CellColumn"/>
            </w:pPr>
            <w:r>
              <w:rPr>
                <w:rFonts w:hAnsi="Times New Roman" w:cs="Times New Roman"/>
              </w:rPr>
              <w:t xml:space="preserve">4.412.043</w:t>
            </w:r>
          </w:p>
        </w:tc>
        <w:tc>
          <w:tcPr>
            <w:tcW w:w="510.3" w:type="dxa"/>
            <w:vAlign w:val="center"/>
          </w:tcPr>
          <w:p>
            <w:pPr>
              <w:jc w:val="both"/>
              <w:pStyle w:val="CellColumn"/>
            </w:pPr>
            <w:r>
              <w:rPr>
                <w:rFonts w:hAnsi="Times New Roman" w:cs="Times New Roman"/>
              </w:rPr>
              <w:t xml:space="preserve">107,5</w:t>
            </w:r>
          </w:p>
        </w:tc>
      </w:tr>
    </w:tbl>
    <w:p>
      <w:pPr>
        <w:jc w:val="left"/>
      </w:pPr>
      <w:r>
        <w:rPr>
          <w:rFonts w:hAnsi="Times New Roman" w:cs="Times New Roman"/>
        </w:rPr>
        <w:t xml:space="preserve"/>
      </w:r>
    </w:p>
    <w:p>
      <w:pPr>
        <w:jc w:val="both"/>
        <w:pStyle w:val="Normal"/>
      </w:pPr>
      <w:r>
        <w:rPr>
          <w:rFonts w:hAnsi="Times New Roman" w:cs="Times New Roman"/>
        </w:rPr>
        <w:t xml:space="preserve">Sredstva osigurana u okviru ove aktivnosti odnose se na financiranje rashoda za zaposlene i materijalnih rashoda potrebnih za redovno poslovanje Državnog odvjetništva Republike Hrvatske, gdje je ukupno  79 zaposlenih od čega 29 pravosudnih dužnosnika i 50 službenika i namještenika. Od ukupno planiranog iznosa u 2025. na sredstva za plaće i doprinose odnosi se 3.696.700 € (osnovica za obračun plaće pravosudnim dužnosnicima iznosi 787,85 € uvećana za pripadajući koeficijent i minuli rad; osnovica za obračun plaće službenicima i namještenicima iznosi 947,18 € uvećana za pripadajući koeficijent i minuli rad). Na ostale rashode za zaposlene (prava po Kolektivnom ugovoru) odnosi se 75.500 €, na naknade za prijevoz na posao i s posla 80.000 €, dok se ostatak planiranih sredstava odnosi na materijalne izdatke gdje su najveći iznosi iskazani na troškovima energije u iznosu 100.000 €,  na rashodima za intelektualne usluge 50.000 €, uslugama telefona, pošte i prijevoza 36.000 €, uslugama tekućeg i investicijskog održavanja 28.000 €, rashodima za nabavu uredskog materijala 40.000 €, za nabavu uredske i komunikacijske opreme, namještaja i opreme za održavanje i zaštitu 50.000 €, dok se ostatak planiranih sredstava odnosi na ostale rashode poslovanja. Od ukupno planiranog iznosa u 2026. na sredstva za plaće i doprinose odnosi se 3.696.700 €, na ostale rashode za zaposlene (prava po Kolektivnom ugovoru) 75.500 €, na naknade za prijevoz na posao i s posla 80.000 €, dok se ostatak sredstava odnosi na materijalne izdatke gdje su najveći iznosi iskazani na istim stavkama rashoda kao i u prethodnoj godini. Od ukupno planiranog iznosa u 2027. na sredstva za plaće i doprinose odnosi se 3.698.863 €, na ostale rashode za zaposlene (prava po Kolektivnom ugovoru) 75.500 €, na prijevoz na posao i s posla 80.000 €, dok se ostatak sredstava odnosi na materijalne izdatke gdje su najveći iznosi iskazani na istim stavkama rashoda kao i u prethodnim godinama.</w:t>
      </w:r>
    </w:p>
    <w:p>
      <w:pPr>
        <w:jc w:val="left"/>
        <w:pStyle w:val="Heading4"/>
      </w:pPr>
      <w:r>
        <w:rPr>
          <w:rFonts w:hAnsi="Times New Roman" w:cs="Times New Roman"/>
        </w:rPr>
        <w:t xml:space="preserve">A634002 MEĐUNARODNA SURADNJA DRŽAVNIH ODVJETNIŠTAVA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odvjetništvu, Zakon o međunarodnoj pravnoj pomoći u kaznenim stvarima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A634002-MEĐUNARODNA SURADNJA DRŽAVNIH ODVJETNIŠTAVA</w:t>
            </w:r>
          </w:p>
        </w:tc>
        <w:tc>
          <w:tcPr>
            <w:tcW w:w="1632.96" w:type="dxa"/>
            <w:vAlign w:val="center"/>
          </w:tcPr>
          <w:p>
            <w:pPr>
              <w:jc w:val="both"/>
              <w:pStyle w:val="CellColumn"/>
            </w:pPr>
            <w:r>
              <w:rPr>
                <w:rFonts w:hAnsi="Times New Roman" w:cs="Times New Roman"/>
              </w:rPr>
              <w:t xml:space="preserve">16.357</w:t>
            </w:r>
          </w:p>
        </w:tc>
        <w:tc>
          <w:tcPr>
            <w:tcW w:w="1632.96" w:type="dxa"/>
            <w:vAlign w:val="center"/>
          </w:tcPr>
          <w:p>
            <w:pPr>
              <w:jc w:val="both"/>
              <w:pStyle w:val="CellColumn"/>
            </w:pPr>
            <w:r>
              <w:rPr>
                <w:rFonts w:hAnsi="Times New Roman" w:cs="Times New Roman"/>
              </w:rPr>
              <w:t xml:space="preserve">44.800</w:t>
            </w:r>
          </w:p>
        </w:tc>
        <w:tc>
          <w:tcPr>
            <w:tcW w:w="1632.96" w:type="dxa"/>
            <w:vAlign w:val="center"/>
          </w:tcPr>
          <w:p>
            <w:pPr>
              <w:jc w:val="both"/>
              <w:pStyle w:val="CellColumn"/>
            </w:pPr>
            <w:r>
              <w:rPr>
                <w:rFonts w:hAnsi="Times New Roman" w:cs="Times New Roman"/>
              </w:rPr>
              <w:t xml:space="preserve">44.800</w:t>
            </w:r>
          </w:p>
        </w:tc>
        <w:tc>
          <w:tcPr>
            <w:tcW w:w="1632.96" w:type="dxa"/>
            <w:vAlign w:val="center"/>
          </w:tcPr>
          <w:p>
            <w:pPr>
              <w:jc w:val="both"/>
              <w:pStyle w:val="CellColumn"/>
            </w:pPr>
            <w:r>
              <w:rPr>
                <w:rFonts w:hAnsi="Times New Roman" w:cs="Times New Roman"/>
              </w:rPr>
              <w:t xml:space="preserve">50.300</w:t>
            </w:r>
          </w:p>
        </w:tc>
        <w:tc>
          <w:tcPr>
            <w:tcW w:w="1632.96" w:type="dxa"/>
            <w:vAlign w:val="center"/>
          </w:tcPr>
          <w:p>
            <w:pPr>
              <w:jc w:val="both"/>
              <w:pStyle w:val="CellColumn"/>
            </w:pPr>
            <w:r>
              <w:rPr>
                <w:rFonts w:hAnsi="Times New Roman" w:cs="Times New Roman"/>
              </w:rPr>
              <w:t xml:space="preserve">50.300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Osiguranim sredstvima u okviru ove aktivnosti financiraju se sljedeći materijalni rashodi: troškovi službenih putovanja, usluge prijevoda, naknade troškova osobama izvan radnog odnosa za službena putovanja savjetnika koji su iz drugih tijela upućeni na rad u DORH, rashodi reprezentacije za ugošćavanje inozemnih delegacija, rashodi protokola prilikom odlaska predstavnika DORH-a u posjete i posjeta inozemnih delegacija DORH-u i slični rashodi. Iz sredstava osiguranih od Pomoći EU, od raznih EU institucija, se refundiraju troškovi inozemnih službenih putovanja.</w:t>
      </w:r>
    </w:p>
    <w:p>
      <w:pPr>
        <w:jc w:val="left"/>
        <w:pStyle w:val="Heading4"/>
      </w:pPr>
      <w:r>
        <w:rPr>
          <w:rFonts w:hAnsi="Times New Roman" w:cs="Times New Roman"/>
        </w:rPr>
        <w:t xml:space="preserve">A634013 ZASTUPANJE REPUBLIKE HRVATSKE U INOZEMSTVU</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odvjetništvu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A634013-ZASTUPANJE REPUBLIKE HRVATSKE U INOZEMSTVU</w:t>
            </w:r>
          </w:p>
        </w:tc>
        <w:tc>
          <w:tcPr>
            <w:tcW w:w="1632.96" w:type="dxa"/>
            <w:vAlign w:val="center"/>
          </w:tcPr>
          <w:p>
            <w:pPr>
              <w:jc w:val="both"/>
              <w:pStyle w:val="CellColumn"/>
            </w:pPr>
            <w:r>
              <w:rPr>
                <w:rFonts w:hAnsi="Times New Roman" w:cs="Times New Roman"/>
              </w:rPr>
              <w:t xml:space="preserve">3.699.023</w:t>
            </w:r>
          </w:p>
        </w:tc>
        <w:tc>
          <w:tcPr>
            <w:tcW w:w="1632.96" w:type="dxa"/>
            <w:vAlign w:val="center"/>
          </w:tcPr>
          <w:p>
            <w:pPr>
              <w:jc w:val="both"/>
              <w:pStyle w:val="CellColumn"/>
            </w:pPr>
            <w:r>
              <w:rPr>
                <w:rFonts w:hAnsi="Times New Roman" w:cs="Times New Roman"/>
              </w:rPr>
              <w:t xml:space="preserve">5.552.000</w:t>
            </w:r>
          </w:p>
        </w:tc>
        <w:tc>
          <w:tcPr>
            <w:tcW w:w="1632.96" w:type="dxa"/>
            <w:vAlign w:val="center"/>
          </w:tcPr>
          <w:p>
            <w:pPr>
              <w:jc w:val="both"/>
              <w:pStyle w:val="CellColumn"/>
            </w:pPr>
            <w:r>
              <w:rPr>
                <w:rFonts w:hAnsi="Times New Roman" w:cs="Times New Roman"/>
              </w:rPr>
              <w:t xml:space="preserve">9.587.000</w:t>
            </w:r>
          </w:p>
        </w:tc>
        <w:tc>
          <w:tcPr>
            <w:tcW w:w="1632.96" w:type="dxa"/>
            <w:vAlign w:val="center"/>
          </w:tcPr>
          <w:p>
            <w:pPr>
              <w:jc w:val="both"/>
              <w:pStyle w:val="CellColumn"/>
            </w:pPr>
            <w:r>
              <w:rPr>
                <w:rFonts w:hAnsi="Times New Roman" w:cs="Times New Roman"/>
              </w:rPr>
              <w:t xml:space="preserve">7.812.000</w:t>
            </w:r>
          </w:p>
        </w:tc>
        <w:tc>
          <w:tcPr>
            <w:tcW w:w="1632.96" w:type="dxa"/>
            <w:vAlign w:val="center"/>
          </w:tcPr>
          <w:p>
            <w:pPr>
              <w:jc w:val="both"/>
              <w:pStyle w:val="CellColumn"/>
            </w:pPr>
            <w:r>
              <w:rPr>
                <w:rFonts w:hAnsi="Times New Roman" w:cs="Times New Roman"/>
              </w:rPr>
              <w:t xml:space="preserve">7.812.000</w:t>
            </w:r>
          </w:p>
        </w:tc>
        <w:tc>
          <w:tcPr>
            <w:tcW w:w="510.3" w:type="dxa"/>
            <w:vAlign w:val="center"/>
          </w:tcPr>
          <w:p>
            <w:pPr>
              <w:jc w:val="both"/>
              <w:pStyle w:val="CellColumn"/>
            </w:pPr>
            <w:r>
              <w:rPr>
                <w:rFonts w:hAnsi="Times New Roman" w:cs="Times New Roman"/>
              </w:rPr>
              <w:t xml:space="preserve">172,7</w:t>
            </w:r>
          </w:p>
        </w:tc>
      </w:tr>
    </w:tbl>
    <w:p>
      <w:pPr>
        <w:jc w:val="left"/>
      </w:pPr>
      <w:r>
        <w:rPr>
          <w:rFonts w:hAnsi="Times New Roman" w:cs="Times New Roman"/>
        </w:rPr>
        <w:t xml:space="preserve"/>
      </w:r>
    </w:p>
    <w:p>
      <w:pPr>
        <w:jc w:val="both"/>
        <w:pStyle w:val="Normal"/>
      </w:pPr>
      <w:r>
        <w:rPr>
          <w:rFonts w:hAnsi="Times New Roman" w:cs="Times New Roman"/>
        </w:rPr>
        <w:t xml:space="preserve">Državno odvjetništvo RH zastupa Republiku Hrvatsku u imovinskim sporovima pred inozemnim sudovima, ustanovama i drugim tijelima. U postupcima koji se vode u inozemstvu i u kojima je isključena mogućnost zastupanja po DORH-u, Glavni državni odvjetnik RH, uz suglasnost Vlade RH, ovlašćuje za zastupanje odgovarajućeg inozemnog stručnjaka, a što je u pravilu odvjetnik iz zemlje u kojoj se vodi postupak. Planirana sredstva u 2025. godini iznose ukupno 9.587.000 €, od čega se najveći iznos od 7.565.000 € odnosi na troškove intelektualnih i osobnih usluga – usluge odvjetnika po službenoj dužnosti, usluge vještaka te pravnih savjetnika u procesima koji se vode pred međunarodnim sudovima, a iznos od 1.800.000 € se odnosi na plaćanje sudskih pristojbi inozemnim sudovima. Sredstva za 2026. i 2027., naročito ona za intelektualne usluge, planirana su temeljem procjene DORH-a, sukladno predviđenim i započetim arbitražnim postupcima.</w:t>
      </w:r>
    </w:p>
    <w:p>
      <w:pPr>
        <w:jc w:val="left"/>
        <w:pStyle w:val="Heading2"/>
      </w:pPr>
      <w:r>
        <w:rPr>
          <w:rFonts w:hAnsi="Times New Roman" w:cs="Times New Roman"/>
        </w:rPr>
        <w:t xml:space="preserve">10945 Državnoodvjetničko vijeće</w:t>
      </w:r>
    </w:p>
    <w:p>
      <w:pPr>
        <w:jc w:val="both"/>
        <w:pStyle w:val="Normal3"/>
      </w:pPr>
      <w:r>
        <w:rPr>
          <w:rFonts w:hAnsi="Times New Roman" w:cs="Times New Roman"/>
        </w:rPr>
        <w:t xml:space="preserve">Državnoodvjetničko vijeće imenuje državne odvjetnike i zamjenike državnih odvjetnika, vodi postupke i odlučuje o stegovnoj odgovornosti državnih odvjetnika i zamjenika državnih odvjetnika, odlučuje o razrješenju državnih odvjetnika i zamjenika državnih odvjetnika, odlučuje o davanju odobrenja za pokretanje kaznenih postupaka protiv državnih odvjetnika i zamjenika državnih odvjetnika, odlučuje o privremenim udaljenjima državnih odvjetnika i zamjenika državnih odvjetnika od obnašanja dužnosti te obavlja druge poslove u skladu sa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10945-Državnoodvjetničko vijeće</w:t>
            </w:r>
          </w:p>
        </w:tc>
        <w:tc>
          <w:tcPr>
            <w:tcW w:w="1632.96" w:type="dxa"/>
            <w:vAlign w:val="center"/>
          </w:tcPr>
          <w:p>
            <w:pPr>
              <w:jc w:val="both"/>
              <w:pStyle w:val="CellColumn"/>
            </w:pPr>
            <w:r>
              <w:rPr>
                <w:rFonts w:hAnsi="Times New Roman" w:cs="Times New Roman"/>
              </w:rPr>
              <w:t xml:space="preserve">264.286</w:t>
            </w:r>
          </w:p>
        </w:tc>
        <w:tc>
          <w:tcPr>
            <w:tcW w:w="1632.96" w:type="dxa"/>
            <w:vAlign w:val="center"/>
          </w:tcPr>
          <w:p>
            <w:pPr>
              <w:jc w:val="both"/>
              <w:pStyle w:val="CellColumn"/>
            </w:pPr>
            <w:r>
              <w:rPr>
                <w:rFonts w:hAnsi="Times New Roman" w:cs="Times New Roman"/>
              </w:rPr>
              <w:t xml:space="preserve">323.237</w:t>
            </w:r>
          </w:p>
        </w:tc>
        <w:tc>
          <w:tcPr>
            <w:tcW w:w="1632.96" w:type="dxa"/>
            <w:vAlign w:val="center"/>
          </w:tcPr>
          <w:p>
            <w:pPr>
              <w:jc w:val="both"/>
              <w:pStyle w:val="CellColumn"/>
            </w:pPr>
            <w:r>
              <w:rPr>
                <w:rFonts w:hAnsi="Times New Roman" w:cs="Times New Roman"/>
              </w:rPr>
              <w:t xml:space="preserve">478.516</w:t>
            </w:r>
          </w:p>
        </w:tc>
        <w:tc>
          <w:tcPr>
            <w:tcW w:w="1632.96" w:type="dxa"/>
            <w:vAlign w:val="center"/>
          </w:tcPr>
          <w:p>
            <w:pPr>
              <w:jc w:val="both"/>
              <w:pStyle w:val="CellColumn"/>
            </w:pPr>
            <w:r>
              <w:rPr>
                <w:rFonts w:hAnsi="Times New Roman" w:cs="Times New Roman"/>
              </w:rPr>
              <w:t xml:space="preserve">492.383</w:t>
            </w:r>
          </w:p>
        </w:tc>
        <w:tc>
          <w:tcPr>
            <w:tcW w:w="1632.96" w:type="dxa"/>
            <w:vAlign w:val="center"/>
          </w:tcPr>
          <w:p>
            <w:pPr>
              <w:jc w:val="both"/>
              <w:pStyle w:val="CellColumn"/>
            </w:pPr>
            <w:r>
              <w:rPr>
                <w:rFonts w:hAnsi="Times New Roman" w:cs="Times New Roman"/>
              </w:rPr>
              <w:t xml:space="preserve">495.831</w:t>
            </w:r>
          </w:p>
        </w:tc>
        <w:tc>
          <w:tcPr>
            <w:tcW w:w="510.3" w:type="dxa"/>
            <w:vAlign w:val="center"/>
          </w:tcPr>
          <w:p>
            <w:pPr>
              <w:jc w:val="both"/>
              <w:pStyle w:val="CellColumn"/>
            </w:pPr>
            <w:r>
              <w:rPr>
                <w:rFonts w:hAnsi="Times New Roman" w:cs="Times New Roman"/>
              </w:rPr>
              <w:t xml:space="preserve">148,0</w:t>
            </w:r>
          </w:p>
        </w:tc>
      </w:tr>
    </w:tbl>
    <w:p>
      <w:pPr>
        <w:jc w:val="left"/>
      </w:pPr>
      <w:r>
        <w:rPr>
          <w:rFonts w:hAnsi="Times New Roman" w:cs="Times New Roman"/>
        </w:rPr>
        <w:t xml:space="preserve"/>
      </w:r>
    </w:p>
    <w:p>
      <w:pPr>
        <w:jc w:val="left"/>
        <w:pStyle w:val="Heading3"/>
      </w:pPr>
      <w:r>
        <w:rPr>
          <w:rFonts w:hAnsi="Times New Roman" w:cs="Times New Roman"/>
        </w:rPr>
        <w:t xml:space="preserve">2802 IMENOVANJA PRAVOSUDNIH DUŽNOSNIKA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2802-IMENOVANJA PRAVOSUDNIH DUŽNOSNIKA</w:t>
            </w:r>
          </w:p>
        </w:tc>
        <w:tc>
          <w:tcPr>
            <w:tcW w:w="1632.96" w:type="dxa"/>
            <w:vAlign w:val="center"/>
          </w:tcPr>
          <w:p>
            <w:pPr>
              <w:jc w:val="both"/>
              <w:pStyle w:val="CellColumn"/>
            </w:pPr>
            <w:r>
              <w:rPr>
                <w:rFonts w:hAnsi="Times New Roman" w:cs="Times New Roman"/>
              </w:rPr>
              <w:t xml:space="preserve">264.286</w:t>
            </w:r>
          </w:p>
        </w:tc>
        <w:tc>
          <w:tcPr>
            <w:tcW w:w="1632.96" w:type="dxa"/>
            <w:vAlign w:val="center"/>
          </w:tcPr>
          <w:p>
            <w:pPr>
              <w:jc w:val="both"/>
              <w:pStyle w:val="CellColumn"/>
            </w:pPr>
            <w:r>
              <w:rPr>
                <w:rFonts w:hAnsi="Times New Roman" w:cs="Times New Roman"/>
              </w:rPr>
              <w:t xml:space="preserve">323.237</w:t>
            </w:r>
          </w:p>
        </w:tc>
        <w:tc>
          <w:tcPr>
            <w:tcW w:w="1632.96" w:type="dxa"/>
            <w:vAlign w:val="center"/>
          </w:tcPr>
          <w:p>
            <w:pPr>
              <w:jc w:val="both"/>
              <w:pStyle w:val="CellColumn"/>
            </w:pPr>
            <w:r>
              <w:rPr>
                <w:rFonts w:hAnsi="Times New Roman" w:cs="Times New Roman"/>
              </w:rPr>
              <w:t xml:space="preserve">478.516</w:t>
            </w:r>
          </w:p>
        </w:tc>
        <w:tc>
          <w:tcPr>
            <w:tcW w:w="1632.96" w:type="dxa"/>
            <w:vAlign w:val="center"/>
          </w:tcPr>
          <w:p>
            <w:pPr>
              <w:jc w:val="both"/>
              <w:pStyle w:val="CellColumn"/>
            </w:pPr>
            <w:r>
              <w:rPr>
                <w:rFonts w:hAnsi="Times New Roman" w:cs="Times New Roman"/>
              </w:rPr>
              <w:t xml:space="preserve">492.383</w:t>
            </w:r>
          </w:p>
        </w:tc>
        <w:tc>
          <w:tcPr>
            <w:tcW w:w="1632.96" w:type="dxa"/>
            <w:vAlign w:val="center"/>
          </w:tcPr>
          <w:p>
            <w:pPr>
              <w:jc w:val="both"/>
              <w:pStyle w:val="CellColumn"/>
            </w:pPr>
            <w:r>
              <w:rPr>
                <w:rFonts w:hAnsi="Times New Roman" w:cs="Times New Roman"/>
              </w:rPr>
              <w:t xml:space="preserve">495.831</w:t>
            </w:r>
          </w:p>
        </w:tc>
        <w:tc>
          <w:tcPr>
            <w:tcW w:w="510.3" w:type="dxa"/>
            <w:vAlign w:val="center"/>
          </w:tcPr>
          <w:p>
            <w:pPr>
              <w:jc w:val="both"/>
              <w:pStyle w:val="CellColumn"/>
            </w:pPr>
            <w:r>
              <w:rPr>
                <w:rFonts w:hAnsi="Times New Roman" w:cs="Times New Roman"/>
              </w:rPr>
              <w:t xml:space="preserve">148,0</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učinkovitosti pravosuđa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imenovanih zamjenika državnih odvjetnika</w:t>
            </w:r>
          </w:p>
        </w:tc>
        <w:tc>
          <w:tcPr>
            <w:tcW w:w="2245.32" w:type="dxa"/>
            <w:vAlign w:val="center"/>
          </w:tcPr>
          <w:p>
            <w:pPr>
              <w:jc w:val="both"/>
              <w:pStyle w:val="CellColumn"/>
            </w:pPr>
            <w:r>
              <w:rPr>
                <w:rFonts w:hAnsi="Times New Roman" w:cs="Times New Roman"/>
              </w:rPr>
              <w:t xml:space="preserve">Državnoodvjetnički dužnosnici se imenuju odlukama DOV-a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Izvješće o radu DOV-a</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30</w:t>
            </w:r>
          </w:p>
        </w:tc>
        <w:tc>
          <w:tcPr>
            <w:tcW w:w="918.54" w:type="dxa"/>
            <w:vAlign w:val="center"/>
          </w:tcPr>
          <w:p>
            <w:pPr>
              <w:jc w:val="both"/>
              <w:pStyle w:val="CellColumn"/>
            </w:pPr>
            <w:r>
              <w:rPr>
                <w:rFonts w:hAnsi="Times New Roman" w:cs="Times New Roman"/>
              </w:rPr>
              <w:t xml:space="preserve">30</w:t>
            </w:r>
          </w:p>
        </w:tc>
      </w:tr>
    </w:tbl>
    <w:p>
      <w:pPr>
        <w:jc w:val="left"/>
      </w:pPr>
      <w:r>
        <w:rPr>
          <w:rFonts w:hAnsi="Times New Roman" w:cs="Times New Roman"/>
        </w:rPr>
        <w:t xml:space="preserve"/>
      </w:r>
    </w:p>
    <w:p>
      <w:pPr>
        <w:jc w:val="left"/>
        <w:pStyle w:val="Heading4"/>
      </w:pPr>
      <w:r>
        <w:rPr>
          <w:rFonts w:hAnsi="Times New Roman" w:cs="Times New Roman"/>
        </w:rPr>
        <w:t xml:space="preserve">A858001 DRŽAVNO ODVJETNIČKO VIJEĆE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odvjetništvu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A858001-DRŽAVNO ODVJETNIČKO VIJEĆE</w:t>
            </w:r>
          </w:p>
        </w:tc>
        <w:tc>
          <w:tcPr>
            <w:tcW w:w="1632.96" w:type="dxa"/>
            <w:vAlign w:val="center"/>
          </w:tcPr>
          <w:p>
            <w:pPr>
              <w:jc w:val="both"/>
              <w:pStyle w:val="CellColumn"/>
            </w:pPr>
            <w:r>
              <w:rPr>
                <w:rFonts w:hAnsi="Times New Roman" w:cs="Times New Roman"/>
              </w:rPr>
              <w:t xml:space="preserve">264.286</w:t>
            </w:r>
          </w:p>
        </w:tc>
        <w:tc>
          <w:tcPr>
            <w:tcW w:w="1632.96" w:type="dxa"/>
            <w:vAlign w:val="center"/>
          </w:tcPr>
          <w:p>
            <w:pPr>
              <w:jc w:val="both"/>
              <w:pStyle w:val="CellColumn"/>
            </w:pPr>
            <w:r>
              <w:rPr>
                <w:rFonts w:hAnsi="Times New Roman" w:cs="Times New Roman"/>
              </w:rPr>
              <w:t xml:space="preserve">323.237</w:t>
            </w:r>
          </w:p>
        </w:tc>
        <w:tc>
          <w:tcPr>
            <w:tcW w:w="1632.96" w:type="dxa"/>
            <w:vAlign w:val="center"/>
          </w:tcPr>
          <w:p>
            <w:pPr>
              <w:jc w:val="both"/>
              <w:pStyle w:val="CellColumn"/>
            </w:pPr>
            <w:r>
              <w:rPr>
                <w:rFonts w:hAnsi="Times New Roman" w:cs="Times New Roman"/>
              </w:rPr>
              <w:t xml:space="preserve">478.516</w:t>
            </w:r>
          </w:p>
        </w:tc>
        <w:tc>
          <w:tcPr>
            <w:tcW w:w="1632.96" w:type="dxa"/>
            <w:vAlign w:val="center"/>
          </w:tcPr>
          <w:p>
            <w:pPr>
              <w:jc w:val="both"/>
              <w:pStyle w:val="CellColumn"/>
            </w:pPr>
            <w:r>
              <w:rPr>
                <w:rFonts w:hAnsi="Times New Roman" w:cs="Times New Roman"/>
              </w:rPr>
              <w:t xml:space="preserve">492.383</w:t>
            </w:r>
          </w:p>
        </w:tc>
        <w:tc>
          <w:tcPr>
            <w:tcW w:w="1632.96" w:type="dxa"/>
            <w:vAlign w:val="center"/>
          </w:tcPr>
          <w:p>
            <w:pPr>
              <w:jc w:val="both"/>
              <w:pStyle w:val="CellColumn"/>
            </w:pPr>
            <w:r>
              <w:rPr>
                <w:rFonts w:hAnsi="Times New Roman" w:cs="Times New Roman"/>
              </w:rPr>
              <w:t xml:space="preserve">495.831</w:t>
            </w:r>
          </w:p>
        </w:tc>
        <w:tc>
          <w:tcPr>
            <w:tcW w:w="510.3" w:type="dxa"/>
            <w:vAlign w:val="center"/>
          </w:tcPr>
          <w:p>
            <w:pPr>
              <w:jc w:val="both"/>
              <w:pStyle w:val="CellColumn"/>
            </w:pPr>
            <w:r>
              <w:rPr>
                <w:rFonts w:hAnsi="Times New Roman" w:cs="Times New Roman"/>
              </w:rPr>
              <w:t xml:space="preserve">148,0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financiranje rashoda za zaposlene i materijalnih rashoda potrebnih za redovan rad Državnoodvjetničkog vijeća, u kojem su trenutno zaposlena 4 službenika, a u tijeku je postupak zapošljavanja još 4 službenika. Od ukupno planiranog iznosa u 2025. na sredstva za plaće i doprinose odnosi se 226.757 € (osnovica za obračun plaće službenicima i namještenicima iznosi 947,18 € uvećana za pripadajući koeficijent i minuli rad), na ostale rashode za zaposlene (prava po Kolektivnom ugovoru) 12.000 €, na naknade za prijevoz na posao i s posla 7.000 €, dok se ostatak sredstava odnosi na materijalne izdatke, gdje se najveći iznos od 140.000 € odnosi na naknade za rad predstavničkih i izvršnih tijela i povjerenstava (naknade članovima za dolazak i održavanje sjednica sukladno Odluci Vlade RH o uvjetima i visini naknade članovima DOV-a). Od ukupno planiranog iznosa u 2026. godini na sredstva za plaće i doprinose odnosi se 219.083  €, na ostale rashode za zaposlene (prava po Kolektivnom ugovoru) 12.000 €, na prijevoz na posao i s posla 7.000 €, dok se ostatak sredstava odnosi na materijalne izdatke u kojima se najveći iznosi iskazuju na istim stavkama rashoda kao i u prethodnoj godini. Od ukupno planiranog iznosa u 2027. godini na sredstva za plaće i doprinose odnosi se 228.531 €, na ostale rashode za zaposlene (prava po Kolektivnom ugovoru) 12.000 €, na prijevoz na posao i s posla 7.000 €, dok se ostatak sredstava odnosi na materijalne izdatke u kojima se najveći iznosi iskazuju na istim stavkama rashoda kao i u prethodnim godinama. U 2026. i 2027. godini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održanih sjednica DOV-a</w:t>
            </w:r>
          </w:p>
        </w:tc>
        <w:tc>
          <w:tcPr>
            <w:tcW w:w="2245.32" w:type="dxa"/>
            <w:vAlign w:val="center"/>
          </w:tcPr>
          <w:p>
            <w:pPr>
              <w:jc w:val="both"/>
              <w:pStyle w:val="CellColumn"/>
            </w:pPr>
            <w:r>
              <w:rPr>
                <w:rFonts w:hAnsi="Times New Roman" w:cs="Times New Roman"/>
              </w:rPr>
              <w:t xml:space="preserve">Državnoodvjetničko vijeće donosi odluke na sjednicama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Izvješće o radu DOV-a</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2"/>
      </w:pPr>
      <w:r>
        <w:rPr>
          <w:rFonts w:hAnsi="Times New Roman" w:cs="Times New Roman"/>
        </w:rPr>
        <w:t xml:space="preserve">10950 Državno sudbeno vijeće</w:t>
      </w:r>
    </w:p>
    <w:p>
      <w:pPr>
        <w:jc w:val="both"/>
        <w:pStyle w:val="Normal3"/>
      </w:pPr>
      <w:r>
        <w:rPr>
          <w:rFonts w:hAnsi="Times New Roman" w:cs="Times New Roman"/>
        </w:rPr>
        <w:t xml:space="preserve">Državno sudbeno vijeće je samostalno i neovisno tijelo koje osigurava samostalnost i neovisnost sudbene vlasti u Republici Hrvatskoj. U djelokrug Vijeća spada: imenovanje sudaca, imenovanje i razrješenje predsjednika sudova, odlučivanje o imunitetu sudaca, premještaj sudaca, vođenje stegovnog postupka i odlučivanje o stegovnoj odgovornosti sudaca, odlučivanje o razrješenju sudaca, sudjelovanje u osposobljavanju i usavršavanju sudaca i sudskih službenika, donošenje Metodologije izrade ocjene sudaca, vođenje osobnih očevidnika sudaca te vođenje i kontrola imovinskih kartica sudaca, kao i obavljanje drugih poslova u skladu sa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10950-Državno sudbeno vijeće</w:t>
            </w:r>
          </w:p>
        </w:tc>
        <w:tc>
          <w:tcPr>
            <w:tcW w:w="1632.96" w:type="dxa"/>
            <w:vAlign w:val="center"/>
          </w:tcPr>
          <w:p>
            <w:pPr>
              <w:jc w:val="both"/>
              <w:pStyle w:val="CellColumn"/>
            </w:pPr>
            <w:r>
              <w:rPr>
                <w:rFonts w:hAnsi="Times New Roman" w:cs="Times New Roman"/>
              </w:rPr>
              <w:t xml:space="preserve">350.591</w:t>
            </w:r>
          </w:p>
        </w:tc>
        <w:tc>
          <w:tcPr>
            <w:tcW w:w="1632.96" w:type="dxa"/>
            <w:vAlign w:val="center"/>
          </w:tcPr>
          <w:p>
            <w:pPr>
              <w:jc w:val="both"/>
              <w:pStyle w:val="CellColumn"/>
            </w:pPr>
            <w:r>
              <w:rPr>
                <w:rFonts w:hAnsi="Times New Roman" w:cs="Times New Roman"/>
              </w:rPr>
              <w:t xml:space="preserve">406.016</w:t>
            </w:r>
          </w:p>
        </w:tc>
        <w:tc>
          <w:tcPr>
            <w:tcW w:w="1632.96" w:type="dxa"/>
            <w:vAlign w:val="center"/>
          </w:tcPr>
          <w:p>
            <w:pPr>
              <w:jc w:val="both"/>
              <w:pStyle w:val="CellColumn"/>
            </w:pPr>
            <w:r>
              <w:rPr>
                <w:rFonts w:hAnsi="Times New Roman" w:cs="Times New Roman"/>
              </w:rPr>
              <w:t xml:space="preserve">440.262</w:t>
            </w:r>
          </w:p>
        </w:tc>
        <w:tc>
          <w:tcPr>
            <w:tcW w:w="1632.96" w:type="dxa"/>
            <w:vAlign w:val="center"/>
          </w:tcPr>
          <w:p>
            <w:pPr>
              <w:jc w:val="both"/>
              <w:pStyle w:val="CellColumn"/>
            </w:pPr>
            <w:r>
              <w:rPr>
                <w:rFonts w:hAnsi="Times New Roman" w:cs="Times New Roman"/>
              </w:rPr>
              <w:t xml:space="preserve">456.257</w:t>
            </w:r>
          </w:p>
        </w:tc>
        <w:tc>
          <w:tcPr>
            <w:tcW w:w="1632.96" w:type="dxa"/>
            <w:vAlign w:val="center"/>
          </w:tcPr>
          <w:p>
            <w:pPr>
              <w:jc w:val="both"/>
              <w:pStyle w:val="CellColumn"/>
            </w:pPr>
            <w:r>
              <w:rPr>
                <w:rFonts w:hAnsi="Times New Roman" w:cs="Times New Roman"/>
              </w:rPr>
              <w:t xml:space="preserve">467.689</w:t>
            </w:r>
          </w:p>
        </w:tc>
        <w:tc>
          <w:tcPr>
            <w:tcW w:w="510.3" w:type="dxa"/>
            <w:vAlign w:val="center"/>
          </w:tcPr>
          <w:p>
            <w:pPr>
              <w:jc w:val="both"/>
              <w:pStyle w:val="CellColumn"/>
            </w:pPr>
            <w:r>
              <w:rPr>
                <w:rFonts w:hAnsi="Times New Roman" w:cs="Times New Roman"/>
              </w:rPr>
              <w:t xml:space="preserve">108,4</w:t>
            </w:r>
          </w:p>
        </w:tc>
      </w:tr>
    </w:tbl>
    <w:p>
      <w:pPr>
        <w:jc w:val="left"/>
      </w:pPr>
      <w:r>
        <w:rPr>
          <w:rFonts w:hAnsi="Times New Roman" w:cs="Times New Roman"/>
        </w:rPr>
        <w:t xml:space="preserve"/>
      </w:r>
    </w:p>
    <w:p>
      <w:pPr>
        <w:jc w:val="left"/>
        <w:pStyle w:val="Heading3"/>
      </w:pPr>
      <w:r>
        <w:rPr>
          <w:rFonts w:hAnsi="Times New Roman" w:cs="Times New Roman"/>
        </w:rPr>
        <w:t xml:space="preserve">2802 IMENOVANJA PRAVOSUDNIH DUŽNOSNIKA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2802-IMENOVANJA PRAVOSUDNIH DUŽNOSNIKA</w:t>
            </w:r>
          </w:p>
        </w:tc>
        <w:tc>
          <w:tcPr>
            <w:tcW w:w="1632.96" w:type="dxa"/>
            <w:vAlign w:val="center"/>
          </w:tcPr>
          <w:p>
            <w:pPr>
              <w:jc w:val="both"/>
              <w:pStyle w:val="CellColumn"/>
            </w:pPr>
            <w:r>
              <w:rPr>
                <w:rFonts w:hAnsi="Times New Roman" w:cs="Times New Roman"/>
              </w:rPr>
              <w:t xml:space="preserve">350.591</w:t>
            </w:r>
          </w:p>
        </w:tc>
        <w:tc>
          <w:tcPr>
            <w:tcW w:w="1632.96" w:type="dxa"/>
            <w:vAlign w:val="center"/>
          </w:tcPr>
          <w:p>
            <w:pPr>
              <w:jc w:val="both"/>
              <w:pStyle w:val="CellColumn"/>
            </w:pPr>
            <w:r>
              <w:rPr>
                <w:rFonts w:hAnsi="Times New Roman" w:cs="Times New Roman"/>
              </w:rPr>
              <w:t xml:space="preserve">406.016</w:t>
            </w:r>
          </w:p>
        </w:tc>
        <w:tc>
          <w:tcPr>
            <w:tcW w:w="1632.96" w:type="dxa"/>
            <w:vAlign w:val="center"/>
          </w:tcPr>
          <w:p>
            <w:pPr>
              <w:jc w:val="both"/>
              <w:pStyle w:val="CellColumn"/>
            </w:pPr>
            <w:r>
              <w:rPr>
                <w:rFonts w:hAnsi="Times New Roman" w:cs="Times New Roman"/>
              </w:rPr>
              <w:t xml:space="preserve">440.262</w:t>
            </w:r>
          </w:p>
        </w:tc>
        <w:tc>
          <w:tcPr>
            <w:tcW w:w="1632.96" w:type="dxa"/>
            <w:vAlign w:val="center"/>
          </w:tcPr>
          <w:p>
            <w:pPr>
              <w:jc w:val="both"/>
              <w:pStyle w:val="CellColumn"/>
            </w:pPr>
            <w:r>
              <w:rPr>
                <w:rFonts w:hAnsi="Times New Roman" w:cs="Times New Roman"/>
              </w:rPr>
              <w:t xml:space="preserve">456.257</w:t>
            </w:r>
          </w:p>
        </w:tc>
        <w:tc>
          <w:tcPr>
            <w:tcW w:w="1632.96" w:type="dxa"/>
            <w:vAlign w:val="center"/>
          </w:tcPr>
          <w:p>
            <w:pPr>
              <w:jc w:val="both"/>
              <w:pStyle w:val="CellColumn"/>
            </w:pPr>
            <w:r>
              <w:rPr>
                <w:rFonts w:hAnsi="Times New Roman" w:cs="Times New Roman"/>
              </w:rPr>
              <w:t xml:space="preserve">467.689</w:t>
            </w:r>
          </w:p>
        </w:tc>
        <w:tc>
          <w:tcPr>
            <w:tcW w:w="510.3" w:type="dxa"/>
            <w:vAlign w:val="center"/>
          </w:tcPr>
          <w:p>
            <w:pPr>
              <w:jc w:val="both"/>
              <w:pStyle w:val="CellColumn"/>
            </w:pPr>
            <w:r>
              <w:rPr>
                <w:rFonts w:hAnsi="Times New Roman" w:cs="Times New Roman"/>
              </w:rPr>
              <w:t xml:space="preserve">108,4</w:t>
            </w:r>
          </w:p>
        </w:tc>
      </w:tr>
    </w:tbl>
    <w:p>
      <w:pPr>
        <w:jc w:val="left"/>
      </w:pPr>
      <w:r>
        <w:rPr>
          <w:rFonts w:hAnsi="Times New Roman" w:cs="Times New Roman"/>
        </w:rPr>
        <w:t xml:space="preserve"/>
      </w:r>
    </w:p>
    <w:p>
      <w:pPr>
        <w:jc w:val="left"/>
        <w:pStyle w:val="Heading7"/>
      </w:pPr>
      <w:r>
        <w:rPr>
          <w:rFonts w:hAnsi="Times New Roman" w:cs="Times New Roman"/>
        </w:rPr>
        <w:t xml:space="preserve">Cilj 1. Jačanje učinkovitosti pravosuđa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imenovanih sudaca</w:t>
            </w:r>
          </w:p>
        </w:tc>
        <w:tc>
          <w:tcPr>
            <w:tcW w:w="2245.32" w:type="dxa"/>
            <w:vAlign w:val="center"/>
          </w:tcPr>
          <w:p>
            <w:pPr>
              <w:jc w:val="both"/>
              <w:pStyle w:val="CellColumn"/>
            </w:pPr>
            <w:r>
              <w:rPr>
                <w:rFonts w:hAnsi="Times New Roman" w:cs="Times New Roman"/>
              </w:rPr>
              <w:t xml:space="preserve">Suci se imenuju odlukama DSV-a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86</w:t>
            </w:r>
          </w:p>
        </w:tc>
        <w:tc>
          <w:tcPr>
            <w:tcW w:w="918.54" w:type="dxa"/>
            <w:vAlign w:val="center"/>
          </w:tcPr>
          <w:p>
            <w:pPr>
              <w:jc w:val="both"/>
              <w:pStyle w:val="CellColumn"/>
            </w:pPr>
            <w:r>
              <w:rPr>
                <w:rFonts w:hAnsi="Times New Roman" w:cs="Times New Roman"/>
              </w:rPr>
              <w:t xml:space="preserve">Izvješće o radu DSV-a za 2022.</w:t>
            </w:r>
          </w:p>
        </w:tc>
        <w:tc>
          <w:tcPr>
            <w:tcW w:w="918.54" w:type="dxa"/>
            <w:vAlign w:val="center"/>
          </w:tcPr>
          <w:p>
            <w:pPr>
              <w:jc w:val="both"/>
              <w:pStyle w:val="CellColumn"/>
            </w:pPr>
            <w:r>
              <w:rPr>
                <w:rFonts w:hAnsi="Times New Roman" w:cs="Times New Roman"/>
              </w:rPr>
              <w:t xml:space="preserve">80</w:t>
            </w:r>
          </w:p>
        </w:tc>
        <w:tc>
          <w:tcPr>
            <w:tcW w:w="918.54" w:type="dxa"/>
            <w:vAlign w:val="center"/>
          </w:tcPr>
          <w:p>
            <w:pPr>
              <w:jc w:val="both"/>
              <w:pStyle w:val="CellColumn"/>
            </w:pPr>
            <w:r>
              <w:rPr>
                <w:rFonts w:hAnsi="Times New Roman" w:cs="Times New Roman"/>
              </w:rPr>
              <w:t xml:space="preserve">90</w:t>
            </w:r>
          </w:p>
        </w:tc>
        <w:tc>
          <w:tcPr>
            <w:tcW w:w="918.54" w:type="dxa"/>
            <w:vAlign w:val="center"/>
          </w:tcPr>
          <w:p>
            <w:pPr>
              <w:jc w:val="both"/>
              <w:pStyle w:val="CellColumn"/>
            </w:pPr>
            <w:r>
              <w:rPr>
                <w:rFonts w:hAnsi="Times New Roman" w:cs="Times New Roman"/>
              </w:rPr>
              <w:t xml:space="preserve">95</w:t>
            </w:r>
          </w:p>
        </w:tc>
      </w:tr>
    </w:tbl>
    <w:p>
      <w:pPr>
        <w:jc w:val="left"/>
      </w:pPr>
      <w:r>
        <w:rPr>
          <w:rFonts w:hAnsi="Times New Roman" w:cs="Times New Roman"/>
        </w:rPr>
        <w:t xml:space="preserve"/>
      </w:r>
    </w:p>
    <w:p>
      <w:pPr>
        <w:jc w:val="left"/>
        <w:pStyle w:val="Heading4"/>
      </w:pPr>
      <w:r>
        <w:rPr>
          <w:rFonts w:hAnsi="Times New Roman" w:cs="Times New Roman"/>
        </w:rPr>
        <w:t xml:space="preserve">A859001 DRŽAVNO SUDBENO VIJEĆE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sudbenom vijeću, Zakon o sudovima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A859001-DRŽAVNO SUDBENO VIJEĆE</w:t>
            </w:r>
          </w:p>
        </w:tc>
        <w:tc>
          <w:tcPr>
            <w:tcW w:w="1632.96" w:type="dxa"/>
            <w:vAlign w:val="center"/>
          </w:tcPr>
          <w:p>
            <w:pPr>
              <w:jc w:val="both"/>
              <w:pStyle w:val="CellColumn"/>
            </w:pPr>
            <w:r>
              <w:rPr>
                <w:rFonts w:hAnsi="Times New Roman" w:cs="Times New Roman"/>
              </w:rPr>
              <w:t xml:space="preserve">350.591</w:t>
            </w:r>
          </w:p>
        </w:tc>
        <w:tc>
          <w:tcPr>
            <w:tcW w:w="1632.96" w:type="dxa"/>
            <w:vAlign w:val="center"/>
          </w:tcPr>
          <w:p>
            <w:pPr>
              <w:jc w:val="both"/>
              <w:pStyle w:val="CellColumn"/>
            </w:pPr>
            <w:r>
              <w:rPr>
                <w:rFonts w:hAnsi="Times New Roman" w:cs="Times New Roman"/>
              </w:rPr>
              <w:t xml:space="preserve">406.016</w:t>
            </w:r>
          </w:p>
        </w:tc>
        <w:tc>
          <w:tcPr>
            <w:tcW w:w="1632.96" w:type="dxa"/>
            <w:vAlign w:val="center"/>
          </w:tcPr>
          <w:p>
            <w:pPr>
              <w:jc w:val="both"/>
              <w:pStyle w:val="CellColumn"/>
            </w:pPr>
            <w:r>
              <w:rPr>
                <w:rFonts w:hAnsi="Times New Roman" w:cs="Times New Roman"/>
              </w:rPr>
              <w:t xml:space="preserve">440.262</w:t>
            </w:r>
          </w:p>
        </w:tc>
        <w:tc>
          <w:tcPr>
            <w:tcW w:w="1632.96" w:type="dxa"/>
            <w:vAlign w:val="center"/>
          </w:tcPr>
          <w:p>
            <w:pPr>
              <w:jc w:val="both"/>
              <w:pStyle w:val="CellColumn"/>
            </w:pPr>
            <w:r>
              <w:rPr>
                <w:rFonts w:hAnsi="Times New Roman" w:cs="Times New Roman"/>
              </w:rPr>
              <w:t xml:space="preserve">456.257</w:t>
            </w:r>
          </w:p>
        </w:tc>
        <w:tc>
          <w:tcPr>
            <w:tcW w:w="1632.96" w:type="dxa"/>
            <w:vAlign w:val="center"/>
          </w:tcPr>
          <w:p>
            <w:pPr>
              <w:jc w:val="both"/>
              <w:pStyle w:val="CellColumn"/>
            </w:pPr>
            <w:r>
              <w:rPr>
                <w:rFonts w:hAnsi="Times New Roman" w:cs="Times New Roman"/>
              </w:rPr>
              <w:t xml:space="preserve">467.689</w:t>
            </w:r>
          </w:p>
        </w:tc>
        <w:tc>
          <w:tcPr>
            <w:tcW w:w="510.3" w:type="dxa"/>
            <w:vAlign w:val="center"/>
          </w:tcPr>
          <w:p>
            <w:pPr>
              <w:jc w:val="both"/>
              <w:pStyle w:val="CellColumn"/>
            </w:pPr>
            <w:r>
              <w:rPr>
                <w:rFonts w:hAnsi="Times New Roman" w:cs="Times New Roman"/>
              </w:rPr>
              <w:t xml:space="preserve">108,4</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Državnog sudbenog vijeća u kojem je zaposleno 6 službenika. Od ukupno planiranog iznosa u 2025. na sredstva za plaće i doprinose odnosi se 205.056 € (osnovica za obračun plaće službenicima i namještenicima iznosi 947,18 € uvećana za pripadajući koeficijent i minuli rad), na ostale rashode za zaposlene (prava po Kolektivnom ugovoru) 5.671 €, na naknade za prijevoz na posao i s posla 12.700 €, dok se ostatak planiranih sredstava odnosi na materijalne izdatke. U materijalnim izdacima se najveći iznosi iskazuju na naknadama za rad predstavničkih i izvršnih tijela, povjerenstava i slično (naknade članovima za dolazak i održavanje sjednica sukladno Odluci Vlade RH o uvjetima i visini naknade članovima DSV-a u iznosu 127.010 €, službena putovanja u iznosu 22.000 € te intelektualne usluge u iznosu 14.400 €). Od ukupno planiranog iznosa u 2026. godini na sredstva za plaće i doprinose odnosi se 215.308 €, na ostale rashode za zaposlene (prava po Kolektivnom ugovoru) 5.671 €, na naknade za prijevoz na posao i s posla 13.070 €, dok se ostatak sredstava odnosi na materijalne izdatke na kojima se najveći iznosi iskazuju na istim stavkama rashoda kao i u prethodnoj godini. Od ukupno planiranog iznosa u 2027. godini na sredstva za plaće i doprinose odnosi se 226.983 €, na ostale rashode za zaposlene (prava po Kolektivnom ugovoru) 5.671 €, na naknade za prijevoz na posao i s posla 13.100 €, dok se ostatak sredstava odnosi na materijalne izdatke na kojima se najveći iznosi iskazuju na istim stavkama rashoda kao i u prethodnoj godini. U 2026. i 2027. godini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održanih sjednica DSV-a</w:t>
            </w:r>
          </w:p>
        </w:tc>
        <w:tc>
          <w:tcPr>
            <w:tcW w:w="2245.32" w:type="dxa"/>
            <w:vAlign w:val="center"/>
          </w:tcPr>
          <w:p>
            <w:pPr>
              <w:jc w:val="both"/>
              <w:pStyle w:val="CellColumn"/>
            </w:pPr>
            <w:r>
              <w:rPr>
                <w:rFonts w:hAnsi="Times New Roman" w:cs="Times New Roman"/>
              </w:rPr>
              <w:t xml:space="preserve">DSV donosi odluke na sjednicama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19</w:t>
            </w:r>
          </w:p>
        </w:tc>
        <w:tc>
          <w:tcPr>
            <w:tcW w:w="918.54" w:type="dxa"/>
            <w:vAlign w:val="center"/>
          </w:tcPr>
          <w:p>
            <w:pPr>
              <w:jc w:val="both"/>
              <w:pStyle w:val="CellColumn"/>
            </w:pPr>
            <w:r>
              <w:rPr>
                <w:rFonts w:hAnsi="Times New Roman" w:cs="Times New Roman"/>
              </w:rPr>
              <w:t xml:space="preserve">Izvješće o radu DSV-a za 2022.</w:t>
            </w:r>
          </w:p>
        </w:tc>
        <w:tc>
          <w:tcPr>
            <w:tcW w:w="918.54" w:type="dxa"/>
            <w:vAlign w:val="center"/>
          </w:tcPr>
          <w:p>
            <w:pPr>
              <w:jc w:val="both"/>
              <w:pStyle w:val="CellColumn"/>
            </w:pPr>
            <w:r>
              <w:rPr>
                <w:rFonts w:hAnsi="Times New Roman" w:cs="Times New Roman"/>
              </w:rPr>
              <w:t xml:space="preserve">24</w:t>
            </w:r>
          </w:p>
        </w:tc>
        <w:tc>
          <w:tcPr>
            <w:tcW w:w="918.54" w:type="dxa"/>
            <w:vAlign w:val="center"/>
          </w:tcPr>
          <w:p>
            <w:pPr>
              <w:jc w:val="both"/>
              <w:pStyle w:val="CellColumn"/>
            </w:pPr>
            <w:r>
              <w:rPr>
                <w:rFonts w:hAnsi="Times New Roman" w:cs="Times New Roman"/>
              </w:rPr>
              <w:t xml:space="preserve">26</w:t>
            </w:r>
          </w:p>
        </w:tc>
        <w:tc>
          <w:tcPr>
            <w:tcW w:w="918.54" w:type="dxa"/>
            <w:vAlign w:val="center"/>
          </w:tcPr>
          <w:p>
            <w:pPr>
              <w:jc w:val="both"/>
              <w:pStyle w:val="CellColumn"/>
            </w:pPr>
            <w:r>
              <w:rPr>
                <w:rFonts w:hAnsi="Times New Roman" w:cs="Times New Roman"/>
              </w:rPr>
              <w:t xml:space="preserve">28</w:t>
            </w:r>
          </w:p>
        </w:tc>
      </w:tr>
    </w:tbl>
    <w:p>
      <w:pPr>
        <w:jc w:val="left"/>
      </w:pPr>
      <w:r>
        <w:rPr>
          <w:rFonts w:hAnsi="Times New Roman" w:cs="Times New Roman"/>
        </w:rPr>
        <w:t xml:space="preserve"/>
      </w:r>
    </w:p>
    <w:p>
      <w:pPr>
        <w:jc w:val="left"/>
        <w:pStyle w:val="Heading2"/>
      </w:pPr>
      <w:r>
        <w:rPr>
          <w:rFonts w:hAnsi="Times New Roman" w:cs="Times New Roman"/>
        </w:rPr>
        <w:t xml:space="preserve">10955 Visoki prekršajni sud Republike Hrvatske</w:t>
      </w:r>
    </w:p>
    <w:p>
      <w:pPr>
        <w:jc w:val="both"/>
        <w:pStyle w:val="Normal3"/>
      </w:pPr>
      <w:r>
        <w:rPr>
          <w:rFonts w:hAnsi="Times New Roman" w:cs="Times New Roman"/>
        </w:rPr>
        <w:t xml:space="preserve">Visoki prekršajni sud Republike Hrvatske je ustanovljen temeljem Zakona o sudovima kao specijalizirani sud za područje Republike Hrvatske sa sjedištem u Zagrebu. Visoki prekršajni sud odlučuje o redovnim pravnim lijekovima protiv odluka općinskih sudova u prekršajnim predmetima i odluka javnopravnih tijela koja vode prvostupanjski prekršajni postupak kada je to propisano posebnim zakonom, rješava sukob nadležnosti između općinskih sudova u prekršajnim predmetima, odlučuje o izvanrednim pravnim lijekovima protiv pravomoćnih odluka o prekršaju kada je to propisao posebnim zakonom, odlučuje o žalbama u predmetima međunarodne pravosudne suradnje s državama članicama Europske unije iz prekršajne nadležnosti, provodi nadzor nad urednim obavljanjem poslova sudaca koji rade na prekršajnim predmetima i obavlja druge poslove određene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10955-Visoki prekršajni sud Republike Hrvatske</w:t>
            </w:r>
          </w:p>
        </w:tc>
        <w:tc>
          <w:tcPr>
            <w:tcW w:w="1632.96" w:type="dxa"/>
            <w:vAlign w:val="center"/>
          </w:tcPr>
          <w:p>
            <w:pPr>
              <w:jc w:val="both"/>
              <w:pStyle w:val="CellColumn"/>
            </w:pPr>
            <w:r>
              <w:rPr>
                <w:rFonts w:hAnsi="Times New Roman" w:cs="Times New Roman"/>
              </w:rPr>
              <w:t xml:space="preserve">2.188.250</w:t>
            </w:r>
          </w:p>
        </w:tc>
        <w:tc>
          <w:tcPr>
            <w:tcW w:w="1632.96" w:type="dxa"/>
            <w:vAlign w:val="center"/>
          </w:tcPr>
          <w:p>
            <w:pPr>
              <w:jc w:val="both"/>
              <w:pStyle w:val="CellColumn"/>
            </w:pPr>
            <w:r>
              <w:rPr>
                <w:rFonts w:hAnsi="Times New Roman" w:cs="Times New Roman"/>
              </w:rPr>
              <w:t xml:space="preserve">2.728.586</w:t>
            </w:r>
          </w:p>
        </w:tc>
        <w:tc>
          <w:tcPr>
            <w:tcW w:w="1632.96" w:type="dxa"/>
            <w:vAlign w:val="center"/>
          </w:tcPr>
          <w:p>
            <w:pPr>
              <w:jc w:val="both"/>
              <w:pStyle w:val="CellColumn"/>
            </w:pPr>
            <w:r>
              <w:rPr>
                <w:rFonts w:hAnsi="Times New Roman" w:cs="Times New Roman"/>
              </w:rPr>
              <w:t xml:space="preserve">2.872.372</w:t>
            </w:r>
          </w:p>
        </w:tc>
        <w:tc>
          <w:tcPr>
            <w:tcW w:w="1632.96" w:type="dxa"/>
            <w:vAlign w:val="center"/>
          </w:tcPr>
          <w:p>
            <w:pPr>
              <w:jc w:val="both"/>
              <w:pStyle w:val="CellColumn"/>
            </w:pPr>
            <w:r>
              <w:rPr>
                <w:rFonts w:hAnsi="Times New Roman" w:cs="Times New Roman"/>
              </w:rPr>
              <w:t xml:space="preserve">2.940.582</w:t>
            </w:r>
          </w:p>
        </w:tc>
        <w:tc>
          <w:tcPr>
            <w:tcW w:w="1632.96" w:type="dxa"/>
            <w:vAlign w:val="center"/>
          </w:tcPr>
          <w:p>
            <w:pPr>
              <w:jc w:val="both"/>
              <w:pStyle w:val="CellColumn"/>
            </w:pPr>
            <w:r>
              <w:rPr>
                <w:rFonts w:hAnsi="Times New Roman" w:cs="Times New Roman"/>
              </w:rPr>
              <w:t xml:space="preserve">2.933.092</w:t>
            </w:r>
          </w:p>
        </w:tc>
        <w:tc>
          <w:tcPr>
            <w:tcW w:w="510.3" w:type="dxa"/>
            <w:vAlign w:val="center"/>
          </w:tcPr>
          <w:p>
            <w:pPr>
              <w:jc w:val="both"/>
              <w:pStyle w:val="CellColumn"/>
            </w:pPr>
            <w:r>
              <w:rPr>
                <w:rFonts w:hAnsi="Times New Roman" w:cs="Times New Roman"/>
              </w:rPr>
              <w:t xml:space="preserve">105,3</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2.188.250</w:t>
            </w:r>
          </w:p>
        </w:tc>
        <w:tc>
          <w:tcPr>
            <w:tcW w:w="1632.96" w:type="dxa"/>
            <w:vAlign w:val="center"/>
          </w:tcPr>
          <w:p>
            <w:pPr>
              <w:jc w:val="both"/>
              <w:pStyle w:val="CellColumn"/>
            </w:pPr>
            <w:r>
              <w:rPr>
                <w:rFonts w:hAnsi="Times New Roman" w:cs="Times New Roman"/>
              </w:rPr>
              <w:t xml:space="preserve">2.728.586</w:t>
            </w:r>
          </w:p>
        </w:tc>
        <w:tc>
          <w:tcPr>
            <w:tcW w:w="1632.96" w:type="dxa"/>
            <w:vAlign w:val="center"/>
          </w:tcPr>
          <w:p>
            <w:pPr>
              <w:jc w:val="both"/>
              <w:pStyle w:val="CellColumn"/>
            </w:pPr>
            <w:r>
              <w:rPr>
                <w:rFonts w:hAnsi="Times New Roman" w:cs="Times New Roman"/>
              </w:rPr>
              <w:t xml:space="preserve">2.872.372</w:t>
            </w:r>
          </w:p>
        </w:tc>
        <w:tc>
          <w:tcPr>
            <w:tcW w:w="1632.96" w:type="dxa"/>
            <w:vAlign w:val="center"/>
          </w:tcPr>
          <w:p>
            <w:pPr>
              <w:jc w:val="both"/>
              <w:pStyle w:val="CellColumn"/>
            </w:pPr>
            <w:r>
              <w:rPr>
                <w:rFonts w:hAnsi="Times New Roman" w:cs="Times New Roman"/>
              </w:rPr>
              <w:t xml:space="preserve">2.940.582</w:t>
            </w:r>
          </w:p>
        </w:tc>
        <w:tc>
          <w:tcPr>
            <w:tcW w:w="1632.96" w:type="dxa"/>
            <w:vAlign w:val="center"/>
          </w:tcPr>
          <w:p>
            <w:pPr>
              <w:jc w:val="both"/>
              <w:pStyle w:val="CellColumn"/>
            </w:pPr>
            <w:r>
              <w:rPr>
                <w:rFonts w:hAnsi="Times New Roman" w:cs="Times New Roman"/>
              </w:rPr>
              <w:t xml:space="preserve">2.933.092</w:t>
            </w:r>
          </w:p>
        </w:tc>
        <w:tc>
          <w:tcPr>
            <w:tcW w:w="510.3" w:type="dxa"/>
            <w:vAlign w:val="center"/>
          </w:tcPr>
          <w:p>
            <w:pPr>
              <w:jc w:val="both"/>
              <w:pStyle w:val="CellColumn"/>
            </w:pPr>
            <w:r>
              <w:rPr>
                <w:rFonts w:hAnsi="Times New Roman" w:cs="Times New Roman"/>
              </w:rPr>
              <w:t xml:space="preserve">105,3</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predmeta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107</w:t>
            </w:r>
          </w:p>
        </w:tc>
        <w:tc>
          <w:tcPr>
            <w:tcW w:w="918.54" w:type="dxa"/>
            <w:vAlign w:val="center"/>
          </w:tcPr>
          <w:p>
            <w:pPr>
              <w:jc w:val="both"/>
              <w:pStyle w:val="CellColumn"/>
            </w:pPr>
            <w:r>
              <w:rPr>
                <w:rFonts w:hAnsi="Times New Roman" w:cs="Times New Roman"/>
              </w:rPr>
              <w:t xml:space="preserve">MPU</w:t>
            </w:r>
          </w:p>
        </w:tc>
        <w:tc>
          <w:tcPr>
            <w:tcW w:w="918.54" w:type="dxa"/>
            <w:vAlign w:val="center"/>
          </w:tcPr>
          <w:p>
            <w:pPr>
              <w:jc w:val="both"/>
              <w:pStyle w:val="CellColumn"/>
            </w:pPr>
            <w:r>
              <w:rPr>
                <w:rFonts w:hAnsi="Times New Roman" w:cs="Times New Roman"/>
              </w:rPr>
              <w:t xml:space="preserve">107</w:t>
            </w:r>
          </w:p>
        </w:tc>
        <w:tc>
          <w:tcPr>
            <w:tcW w:w="918.54" w:type="dxa"/>
            <w:vAlign w:val="center"/>
          </w:tcPr>
          <w:p>
            <w:pPr>
              <w:jc w:val="both"/>
              <w:pStyle w:val="CellColumn"/>
            </w:pPr>
            <w:r>
              <w:rPr>
                <w:rFonts w:hAnsi="Times New Roman" w:cs="Times New Roman"/>
              </w:rPr>
              <w:t xml:space="preserve">107</w:t>
            </w:r>
          </w:p>
        </w:tc>
        <w:tc>
          <w:tcPr>
            <w:tcW w:w="918.54" w:type="dxa"/>
            <w:vAlign w:val="center"/>
          </w:tcPr>
          <w:p>
            <w:pPr>
              <w:jc w:val="both"/>
              <w:pStyle w:val="CellColumn"/>
            </w:pPr>
            <w:r>
              <w:rPr>
                <w:rFonts w:hAnsi="Times New Roman" w:cs="Times New Roman"/>
              </w:rPr>
              <w:t xml:space="preserve">110</w:t>
            </w:r>
          </w:p>
        </w:tc>
      </w:tr>
    </w:tbl>
    <w:p>
      <w:pPr>
        <w:jc w:val="left"/>
      </w:pPr>
      <w:r>
        <w:rPr>
          <w:rFonts w:hAnsi="Times New Roman" w:cs="Times New Roman"/>
        </w:rPr>
        <w:t xml:space="preserve"/>
      </w:r>
    </w:p>
    <w:p>
      <w:pPr>
        <w:jc w:val="left"/>
        <w:pStyle w:val="Heading4"/>
      </w:pPr>
      <w:r>
        <w:rPr>
          <w:rFonts w:hAnsi="Times New Roman" w:cs="Times New Roman"/>
        </w:rPr>
        <w:t xml:space="preserve">A637000 VOĐENJE SUDSKIH POSTUPAKA IZ NADLEŽNOSTI VISOKOG PREKRŠAJNOG SUDA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Prekršajni zakon</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A637000-VOĐENJE SUDSKIH POSTUPAKA IZ NADLEŽNOSTI VISOKOG PREKRŠAJNOG SUDA RH</w:t>
            </w:r>
          </w:p>
        </w:tc>
        <w:tc>
          <w:tcPr>
            <w:tcW w:w="1632.96" w:type="dxa"/>
            <w:vAlign w:val="center"/>
          </w:tcPr>
          <w:p>
            <w:pPr>
              <w:jc w:val="both"/>
              <w:pStyle w:val="CellColumn"/>
            </w:pPr>
            <w:r>
              <w:rPr>
                <w:rFonts w:hAnsi="Times New Roman" w:cs="Times New Roman"/>
              </w:rPr>
              <w:t xml:space="preserve">2.188.250</w:t>
            </w:r>
          </w:p>
        </w:tc>
        <w:tc>
          <w:tcPr>
            <w:tcW w:w="1632.96" w:type="dxa"/>
            <w:vAlign w:val="center"/>
          </w:tcPr>
          <w:p>
            <w:pPr>
              <w:jc w:val="both"/>
              <w:pStyle w:val="CellColumn"/>
            </w:pPr>
            <w:r>
              <w:rPr>
                <w:rFonts w:hAnsi="Times New Roman" w:cs="Times New Roman"/>
              </w:rPr>
              <w:t xml:space="preserve">2.728.586</w:t>
            </w:r>
          </w:p>
        </w:tc>
        <w:tc>
          <w:tcPr>
            <w:tcW w:w="1632.96" w:type="dxa"/>
            <w:vAlign w:val="center"/>
          </w:tcPr>
          <w:p>
            <w:pPr>
              <w:jc w:val="both"/>
              <w:pStyle w:val="CellColumn"/>
            </w:pPr>
            <w:r>
              <w:rPr>
                <w:rFonts w:hAnsi="Times New Roman" w:cs="Times New Roman"/>
              </w:rPr>
              <w:t xml:space="preserve">2.872.372</w:t>
            </w:r>
          </w:p>
        </w:tc>
        <w:tc>
          <w:tcPr>
            <w:tcW w:w="1632.96" w:type="dxa"/>
            <w:vAlign w:val="center"/>
          </w:tcPr>
          <w:p>
            <w:pPr>
              <w:jc w:val="both"/>
              <w:pStyle w:val="CellColumn"/>
            </w:pPr>
            <w:r>
              <w:rPr>
                <w:rFonts w:hAnsi="Times New Roman" w:cs="Times New Roman"/>
              </w:rPr>
              <w:t xml:space="preserve">2.940.582</w:t>
            </w:r>
          </w:p>
        </w:tc>
        <w:tc>
          <w:tcPr>
            <w:tcW w:w="1632.96" w:type="dxa"/>
            <w:vAlign w:val="center"/>
          </w:tcPr>
          <w:p>
            <w:pPr>
              <w:jc w:val="both"/>
              <w:pStyle w:val="CellColumn"/>
            </w:pPr>
            <w:r>
              <w:rPr>
                <w:rFonts w:hAnsi="Times New Roman" w:cs="Times New Roman"/>
              </w:rPr>
              <w:t xml:space="preserve">2.933.092</w:t>
            </w:r>
          </w:p>
        </w:tc>
        <w:tc>
          <w:tcPr>
            <w:tcW w:w="510.3" w:type="dxa"/>
            <w:vAlign w:val="center"/>
          </w:tcPr>
          <w:p>
            <w:pPr>
              <w:jc w:val="both"/>
              <w:pStyle w:val="CellColumn"/>
            </w:pPr>
            <w:r>
              <w:rPr>
                <w:rFonts w:hAnsi="Times New Roman" w:cs="Times New Roman"/>
              </w:rPr>
              <w:t xml:space="preserve">105,3</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Visokog prekršajnog suda Republike Hrvatske u kojem je ukupno 60 zaposlenih, od čega 18 pravosudnih dužnosnika i 42 službenika i namještenika. Od ukupno planiranog iznosa u 2025. godini na sredstva za plaće i doprinose odnosi se 2.600.280 € (osnovica za obračun plaće pravosudnim dužnosnicima iznosi 787,85 € uvećana za pripadajući koeficijent i minuli rad, osnovica za obračun plaće službenicima i namještenicima iznosi 947,18 € uvećana za pripadajući koeficijent i minuli rad), na rashode za zaposlene (prava po Kolektivnom ugovoru) 56.990 €, na naknade za prijevoz na posao i s posla 59.150 €, dok se ostatak sredstava odnosi na materijalne izdatke, na kojima se najveći iznosi iskazuju na energiji u iznosu 59.327 €, uredskom materijalu u iznosu 24.421 € i uslugama pošte i telefona u iznosu 13.272 €te usluge za tekuće i investicijsko održavanje u iznosu 18.000 €. Od ukupno planiranog iznosa u 2026. godini na sredstva za plaće i doprinose odnosi se 2.664.938 €, na ostale rashode za zaposlene (prava po Kolektivnom ugovoru) 57.306 €, na naknade za prijevoz na posao i s posla 59.150 €, dok se ostatak sredstava odnosi na materijalne izdatke, na kojima se najveći iznosi iskazuju na istim stavkama rashoda kao i u prethodnoj godini. Od ukupno planiranog iznosa u 2027. godini na sredstva za plaće i doprinose odnosi se 2.662.025 €, na ostale rashode za zaposlene (prava po Kolektivnom ugovoru) 58.629 €, na naknade za prijevoz na posao i s posla 59.150 €, dok se ostatak sredstava odnosi na materijalne izdatke, na kojima se najveći iznosi iskazuju na istim stavkama rashoda kao i u prethodnoj godini. U 2026. i 2027. godini sredstva za zaposlene uvećana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11.000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12.500</w:t>
            </w:r>
          </w:p>
        </w:tc>
        <w:tc>
          <w:tcPr>
            <w:tcW w:w="918.54" w:type="dxa"/>
            <w:vAlign w:val="center"/>
          </w:tcPr>
          <w:p>
            <w:pPr>
              <w:jc w:val="both"/>
              <w:pStyle w:val="CellColumn"/>
            </w:pPr>
            <w:r>
              <w:rPr>
                <w:rFonts w:hAnsi="Times New Roman" w:cs="Times New Roman"/>
              </w:rPr>
              <w:t xml:space="preserve">11.000</w:t>
            </w:r>
          </w:p>
        </w:tc>
        <w:tc>
          <w:tcPr>
            <w:tcW w:w="918.54" w:type="dxa"/>
            <w:vAlign w:val="center"/>
          </w:tcPr>
          <w:p>
            <w:pPr>
              <w:jc w:val="both"/>
              <w:pStyle w:val="CellColumn"/>
            </w:pPr>
            <w:r>
              <w:rPr>
                <w:rFonts w:hAnsi="Times New Roman" w:cs="Times New Roman"/>
              </w:rPr>
              <w:t xml:space="preserve">10.000</w:t>
            </w:r>
          </w:p>
        </w:tc>
      </w:tr>
    </w:tbl>
    <w:p>
      <w:pPr>
        <w:jc w:val="left"/>
      </w:pPr>
      <w:r>
        <w:rPr>
          <w:rFonts w:hAnsi="Times New Roman" w:cs="Times New Roman"/>
        </w:rPr>
        <w:t xml:space="preserve"/>
      </w:r>
    </w:p>
    <w:p>
      <w:pPr>
        <w:jc w:val="left"/>
        <w:pStyle w:val="Heading2"/>
      </w:pPr>
      <w:r>
        <w:rPr>
          <w:rFonts w:hAnsi="Times New Roman" w:cs="Times New Roman"/>
        </w:rPr>
        <w:t xml:space="preserve">10960 Visoki kazneni sud Republike Hrvatske</w:t>
      </w:r>
    </w:p>
    <w:p>
      <w:pPr>
        <w:jc w:val="both"/>
        <w:pStyle w:val="Normal3"/>
      </w:pPr>
      <w:r>
        <w:rPr>
          <w:rFonts w:hAnsi="Times New Roman" w:cs="Times New Roman"/>
        </w:rPr>
        <w:t xml:space="preserve">Visoki kazneni sud Republike Hrvatske sa sjedištem u Zagrebu osnovan je kao specijalizirani sud Zakonom o izmjenama i dopunama Zakona o sudovima. Visoki kazneni sud Republike Hrvatske odlučuje u drugom stupnju o žalbama protiv odluka županijskih sudova u kaznenim predmetima, osim ako je zakonom propisano drukčije; provodi nadzor nad urednim obavljanjem poslova sudaca županijskih sudova koji rade na prvostupanjskim kaznenim predmetima; rješava sukob nadležnosti između županijskih sudova u prvostupanjskim kaznenim predmetima i obavlja druge poslove određene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10960-Visoki kazneni sud Republike Hrvatske</w:t>
            </w:r>
          </w:p>
        </w:tc>
        <w:tc>
          <w:tcPr>
            <w:tcW w:w="1632.96" w:type="dxa"/>
            <w:vAlign w:val="center"/>
          </w:tcPr>
          <w:p>
            <w:pPr>
              <w:jc w:val="both"/>
              <w:pStyle w:val="CellColumn"/>
            </w:pPr>
            <w:r>
              <w:rPr>
                <w:rFonts w:hAnsi="Times New Roman" w:cs="Times New Roman"/>
              </w:rPr>
              <w:t xml:space="preserve">1.318.764</w:t>
            </w:r>
          </w:p>
        </w:tc>
        <w:tc>
          <w:tcPr>
            <w:tcW w:w="1632.96" w:type="dxa"/>
            <w:vAlign w:val="center"/>
          </w:tcPr>
          <w:p>
            <w:pPr>
              <w:jc w:val="both"/>
              <w:pStyle w:val="CellColumn"/>
            </w:pPr>
            <w:r>
              <w:rPr>
                <w:rFonts w:hAnsi="Times New Roman" w:cs="Times New Roman"/>
              </w:rPr>
              <w:t xml:space="preserve">1.767.046</w:t>
            </w:r>
          </w:p>
        </w:tc>
        <w:tc>
          <w:tcPr>
            <w:tcW w:w="1632.96" w:type="dxa"/>
            <w:vAlign w:val="center"/>
          </w:tcPr>
          <w:p>
            <w:pPr>
              <w:jc w:val="both"/>
              <w:pStyle w:val="CellColumn"/>
            </w:pPr>
            <w:r>
              <w:rPr>
                <w:rFonts w:hAnsi="Times New Roman" w:cs="Times New Roman"/>
              </w:rPr>
              <w:t xml:space="preserve">1.916.017</w:t>
            </w:r>
          </w:p>
        </w:tc>
        <w:tc>
          <w:tcPr>
            <w:tcW w:w="1632.96" w:type="dxa"/>
            <w:vAlign w:val="center"/>
          </w:tcPr>
          <w:p>
            <w:pPr>
              <w:jc w:val="both"/>
              <w:pStyle w:val="CellColumn"/>
            </w:pPr>
            <w:r>
              <w:rPr>
                <w:rFonts w:hAnsi="Times New Roman" w:cs="Times New Roman"/>
              </w:rPr>
              <w:t xml:space="preserve">1.934.147</w:t>
            </w:r>
          </w:p>
        </w:tc>
        <w:tc>
          <w:tcPr>
            <w:tcW w:w="1632.96" w:type="dxa"/>
            <w:vAlign w:val="center"/>
          </w:tcPr>
          <w:p>
            <w:pPr>
              <w:jc w:val="both"/>
              <w:pStyle w:val="CellColumn"/>
            </w:pPr>
            <w:r>
              <w:rPr>
                <w:rFonts w:hAnsi="Times New Roman" w:cs="Times New Roman"/>
              </w:rPr>
              <w:t xml:space="preserve">1.945.705</w:t>
            </w:r>
          </w:p>
        </w:tc>
        <w:tc>
          <w:tcPr>
            <w:tcW w:w="510.3" w:type="dxa"/>
            <w:vAlign w:val="center"/>
          </w:tcPr>
          <w:p>
            <w:pPr>
              <w:jc w:val="both"/>
              <w:pStyle w:val="CellColumn"/>
            </w:pPr>
            <w:r>
              <w:rPr>
                <w:rFonts w:hAnsi="Times New Roman" w:cs="Times New Roman"/>
              </w:rPr>
              <w:t xml:space="preserve">108,4</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1.318.764</w:t>
            </w:r>
          </w:p>
        </w:tc>
        <w:tc>
          <w:tcPr>
            <w:tcW w:w="1632.96" w:type="dxa"/>
            <w:vAlign w:val="center"/>
          </w:tcPr>
          <w:p>
            <w:pPr>
              <w:jc w:val="both"/>
              <w:pStyle w:val="CellColumn"/>
            </w:pPr>
            <w:r>
              <w:rPr>
                <w:rFonts w:hAnsi="Times New Roman" w:cs="Times New Roman"/>
              </w:rPr>
              <w:t xml:space="preserve">1.767.046</w:t>
            </w:r>
          </w:p>
        </w:tc>
        <w:tc>
          <w:tcPr>
            <w:tcW w:w="1632.96" w:type="dxa"/>
            <w:vAlign w:val="center"/>
          </w:tcPr>
          <w:p>
            <w:pPr>
              <w:jc w:val="both"/>
              <w:pStyle w:val="CellColumn"/>
            </w:pPr>
            <w:r>
              <w:rPr>
                <w:rFonts w:hAnsi="Times New Roman" w:cs="Times New Roman"/>
              </w:rPr>
              <w:t xml:space="preserve">1.916.017</w:t>
            </w:r>
          </w:p>
        </w:tc>
        <w:tc>
          <w:tcPr>
            <w:tcW w:w="1632.96" w:type="dxa"/>
            <w:vAlign w:val="center"/>
          </w:tcPr>
          <w:p>
            <w:pPr>
              <w:jc w:val="both"/>
              <w:pStyle w:val="CellColumn"/>
            </w:pPr>
            <w:r>
              <w:rPr>
                <w:rFonts w:hAnsi="Times New Roman" w:cs="Times New Roman"/>
              </w:rPr>
              <w:t xml:space="preserve">1.934.147</w:t>
            </w:r>
          </w:p>
        </w:tc>
        <w:tc>
          <w:tcPr>
            <w:tcW w:w="1632.96" w:type="dxa"/>
            <w:vAlign w:val="center"/>
          </w:tcPr>
          <w:p>
            <w:pPr>
              <w:jc w:val="both"/>
              <w:pStyle w:val="CellColumn"/>
            </w:pPr>
            <w:r>
              <w:rPr>
                <w:rFonts w:hAnsi="Times New Roman" w:cs="Times New Roman"/>
              </w:rPr>
              <w:t xml:space="preserve">1.945.705</w:t>
            </w:r>
          </w:p>
        </w:tc>
        <w:tc>
          <w:tcPr>
            <w:tcW w:w="510.3" w:type="dxa"/>
            <w:vAlign w:val="center"/>
          </w:tcPr>
          <w:p>
            <w:pPr>
              <w:jc w:val="both"/>
              <w:pStyle w:val="CellColumn"/>
            </w:pPr>
            <w:r>
              <w:rPr>
                <w:rFonts w:hAnsi="Times New Roman" w:cs="Times New Roman"/>
              </w:rPr>
              <w:t xml:space="preserve">108,4</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predmeta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103</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103</w:t>
            </w:r>
          </w:p>
        </w:tc>
        <w:tc>
          <w:tcPr>
            <w:tcW w:w="918.54" w:type="dxa"/>
            <w:vAlign w:val="center"/>
          </w:tcPr>
          <w:p>
            <w:pPr>
              <w:jc w:val="both"/>
              <w:pStyle w:val="CellColumn"/>
            </w:pPr>
            <w:r>
              <w:rPr>
                <w:rFonts w:hAnsi="Times New Roman" w:cs="Times New Roman"/>
              </w:rPr>
              <w:t xml:space="preserve">103</w:t>
            </w:r>
          </w:p>
        </w:tc>
        <w:tc>
          <w:tcPr>
            <w:tcW w:w="918.54" w:type="dxa"/>
            <w:vAlign w:val="center"/>
          </w:tcPr>
          <w:p>
            <w:pPr>
              <w:jc w:val="both"/>
              <w:pStyle w:val="CellColumn"/>
            </w:pPr>
            <w:r>
              <w:rPr>
                <w:rFonts w:hAnsi="Times New Roman" w:cs="Times New Roman"/>
              </w:rPr>
              <w:t xml:space="preserve">105</w:t>
            </w:r>
          </w:p>
        </w:tc>
      </w:tr>
    </w:tbl>
    <w:p>
      <w:pPr>
        <w:jc w:val="left"/>
      </w:pPr>
      <w:r>
        <w:rPr>
          <w:rFonts w:hAnsi="Times New Roman" w:cs="Times New Roman"/>
        </w:rPr>
        <w:t xml:space="preserve"/>
      </w:r>
    </w:p>
    <w:p>
      <w:pPr>
        <w:jc w:val="left"/>
        <w:pStyle w:val="Heading4"/>
      </w:pPr>
      <w:r>
        <w:rPr>
          <w:rFonts w:hAnsi="Times New Roman" w:cs="Times New Roman"/>
        </w:rPr>
        <w:t xml:space="preserve">A927001 VOĐENJE SUDSKIH POSTUPAKA IZ NADLEŽNOSTI VISOKOG KAZNENOG SUDA REPUBLIKE HRVATSKE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kaznenom postupku, Zakon o sudovima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A927001-VOĐENJE SUDSKIH POSTUPAKA IZ NADLEŽNOSTI VISOKOG KAZNENOG SUDA REPUBLIKE HRVATSKE</w:t>
            </w:r>
          </w:p>
        </w:tc>
        <w:tc>
          <w:tcPr>
            <w:tcW w:w="1632.96" w:type="dxa"/>
            <w:vAlign w:val="center"/>
          </w:tcPr>
          <w:p>
            <w:pPr>
              <w:jc w:val="both"/>
              <w:pStyle w:val="CellColumn"/>
            </w:pPr>
            <w:r>
              <w:rPr>
                <w:rFonts w:hAnsi="Times New Roman" w:cs="Times New Roman"/>
              </w:rPr>
              <w:t xml:space="preserve">1.318.764</w:t>
            </w:r>
          </w:p>
        </w:tc>
        <w:tc>
          <w:tcPr>
            <w:tcW w:w="1632.96" w:type="dxa"/>
            <w:vAlign w:val="center"/>
          </w:tcPr>
          <w:p>
            <w:pPr>
              <w:jc w:val="both"/>
              <w:pStyle w:val="CellColumn"/>
            </w:pPr>
            <w:r>
              <w:rPr>
                <w:rFonts w:hAnsi="Times New Roman" w:cs="Times New Roman"/>
              </w:rPr>
              <w:t xml:space="preserve">1.767.046</w:t>
            </w:r>
          </w:p>
        </w:tc>
        <w:tc>
          <w:tcPr>
            <w:tcW w:w="1632.96" w:type="dxa"/>
            <w:vAlign w:val="center"/>
          </w:tcPr>
          <w:p>
            <w:pPr>
              <w:jc w:val="both"/>
              <w:pStyle w:val="CellColumn"/>
            </w:pPr>
            <w:r>
              <w:rPr>
                <w:rFonts w:hAnsi="Times New Roman" w:cs="Times New Roman"/>
              </w:rPr>
              <w:t xml:space="preserve">1.916.017</w:t>
            </w:r>
          </w:p>
        </w:tc>
        <w:tc>
          <w:tcPr>
            <w:tcW w:w="1632.96" w:type="dxa"/>
            <w:vAlign w:val="center"/>
          </w:tcPr>
          <w:p>
            <w:pPr>
              <w:jc w:val="both"/>
              <w:pStyle w:val="CellColumn"/>
            </w:pPr>
            <w:r>
              <w:rPr>
                <w:rFonts w:hAnsi="Times New Roman" w:cs="Times New Roman"/>
              </w:rPr>
              <w:t xml:space="preserve">1.934.147</w:t>
            </w:r>
          </w:p>
        </w:tc>
        <w:tc>
          <w:tcPr>
            <w:tcW w:w="1632.96" w:type="dxa"/>
            <w:vAlign w:val="center"/>
          </w:tcPr>
          <w:p>
            <w:pPr>
              <w:jc w:val="both"/>
              <w:pStyle w:val="CellColumn"/>
            </w:pPr>
            <w:r>
              <w:rPr>
                <w:rFonts w:hAnsi="Times New Roman" w:cs="Times New Roman"/>
              </w:rPr>
              <w:t xml:space="preserve">1.945.705</w:t>
            </w:r>
          </w:p>
        </w:tc>
        <w:tc>
          <w:tcPr>
            <w:tcW w:w="510.3" w:type="dxa"/>
            <w:vAlign w:val="center"/>
          </w:tcPr>
          <w:p>
            <w:pPr>
              <w:jc w:val="both"/>
              <w:pStyle w:val="CellColumn"/>
            </w:pPr>
            <w:r>
              <w:rPr>
                <w:rFonts w:hAnsi="Times New Roman" w:cs="Times New Roman"/>
              </w:rPr>
              <w:t xml:space="preserve">108,4</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Visokog kaznenog suda u kojem je ukupno 41 zaposleni, od čega 13 pravosudnih dužnosnika i 24 službenika i 4 namještenika. Od ukupno planiranog iznosa u 2025. godini na sredstva za plaće i doprinose odnosi se 1.541.017 € (osnovica za obračun plaće pravosudnim dužnosnicima iznosi 787,85 € uvećana za pripadajući koeficijent; osnovica za obračun plaće službenicima i namještenicima iznosi 947,18 € uvećana za pripadajući koeficijent i minuli rad). Na ostale rashode za zaposlene (prava po Kolektivnom ugovoru) odnosi se 35.000 €, na naknade za prijevoz na posao i s posla 50.000 €, dok se ostatak sredstava odnosi na materijalne izdatke na kojima se najveći iznosi odnose na uredski materijal u iznosu 30.000 €, zakupnine i najamnine u iznosu 20.000 € (zakupi fotokopirnih uređaja i printera), energiju u iznosu od 50.000 €,  usluge telefona pošte i prijevoza u iznosu 28.000 € te nabavu uredskog namještaja i opreme u iznosu 58.000 € (zbog opremanja prostorija na adresi Savska cesta 62, koje su dodijeljene Visokom kaznenom sudu na korištenje i gdje su preseljeni zbog obnove zgrade na Trgu Nikole Šubića Zrinskog 3). Od ukupno planiranog iznosa u 2026. godini na sredstva za plaće i doprinose odnosi se 1.556.147 €, na ostale rashode za zaposlene (prava po Kolektivnom ugovoru) 35.000 €, na naknade za prijevoz na posao i s posla 50.000 €, dok se ostatak sredstava odnosi na materijalne izdatke kao i u prethodnoj godini. Od ukupno planiranog iznosa u 2027. godini na sredstva za plaće i doprinose odnosi se 1.567.705 €, na ostale rashode za zaposlene (prava po Kolektivnom ugovoru) 35.000 €, na naknade prijevoz na posao i s posla 50.000 €, dok se ostatak sredstava odnosi na materijalne izdatke kao i u prethodne dvije godine.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180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650</w:t>
            </w:r>
          </w:p>
        </w:tc>
        <w:tc>
          <w:tcPr>
            <w:tcW w:w="918.54" w:type="dxa"/>
            <w:vAlign w:val="center"/>
          </w:tcPr>
          <w:p>
            <w:pPr>
              <w:jc w:val="both"/>
              <w:pStyle w:val="CellColumn"/>
            </w:pPr>
            <w:r>
              <w:rPr>
                <w:rFonts w:hAnsi="Times New Roman" w:cs="Times New Roman"/>
              </w:rPr>
              <w:t xml:space="preserve">600</w:t>
            </w:r>
          </w:p>
        </w:tc>
        <w:tc>
          <w:tcPr>
            <w:tcW w:w="918.54" w:type="dxa"/>
            <w:vAlign w:val="center"/>
          </w:tcPr>
          <w:p>
            <w:pPr>
              <w:jc w:val="both"/>
              <w:pStyle w:val="CellColumn"/>
            </w:pPr>
            <w:r>
              <w:rPr>
                <w:rFonts w:hAnsi="Times New Roman" w:cs="Times New Roman"/>
              </w:rPr>
              <w:t xml:space="preserve">500</w:t>
            </w:r>
          </w:p>
        </w:tc>
      </w:tr>
    </w:tbl>
    <w:p>
      <w:pPr>
        <w:jc w:val="left"/>
      </w:pPr>
      <w:r>
        <w:rPr>
          <w:rFonts w:hAnsi="Times New Roman" w:cs="Times New Roman"/>
        </w:rPr>
        <w:t xml:space="preserve"/>
      </w:r>
    </w:p>
    <w:p>
      <w:pPr>
        <w:jc w:val="left"/>
        <w:pStyle w:val="Heading2"/>
      </w:pPr>
      <w:r>
        <w:rPr>
          <w:rFonts w:hAnsi="Times New Roman" w:cs="Times New Roman"/>
        </w:rPr>
        <w:t xml:space="preserve">10965 Županijski sudovi</w:t>
      </w:r>
    </w:p>
    <w:p>
      <w:pPr>
        <w:jc w:val="both"/>
        <w:pStyle w:val="Normal3"/>
      </w:pPr>
      <w:r>
        <w:rPr>
          <w:rFonts w:hAnsi="Times New Roman" w:cs="Times New Roman"/>
        </w:rPr>
        <w:t xml:space="preserve">Djelokrug županijskih sudova propisan je Zakonom o sudovima, a ustanovljeno je 15 županijskih sudova, kao redovni sudovi za područje jedne ili više županija. Zakonom o područjima i sjedištima sudova određena je nadležnost i sjedište pa tako djeluju u: Bjelovaru, Dubrovniku, Karlovcu, Osijeku, Puli-Pola, Rijeci, Sisku, Slavonskom Brodu, Splitu, Šibeniku, Varaždinu, Velikoj Gorici, Vukovaru, Zadru i Zagrebu. Županijski sudovi rješavaju o žalbama protiv odluka općinskih sudova, osim ako je zakonom drukčije propisano, rješavaju predmete u prvom stupnju kada je njihova nadležnost propisana zakonom, provode istražni i javnobilježnički stegovni postupak zbog stegovnih prijestupa i odlučuju o tim prijestupima u prvom stupnju, kad je to određeno zakonom, odlučuju o žalbama protiv odluka u stegovnim postupcima zbog neurednosti u obavljanju poslova javnih bilježnika kad je to određeno zakonom, obavljaju poslove međunarodne pravne pomoći u postupcima iz svoje nadležnosti, obavljaju poslove međunarodne pravosudne suradnje s državama članicama Europske unije u postupcima iz svoje nadležnosti, osim u prekršajnim predmetima, provode izvršenje strane kaznene odluke, obavljaju i druge poslove određene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10965-Županijski sudovi</w:t>
            </w:r>
          </w:p>
        </w:tc>
        <w:tc>
          <w:tcPr>
            <w:tcW w:w="1632.96" w:type="dxa"/>
            <w:vAlign w:val="center"/>
          </w:tcPr>
          <w:p>
            <w:pPr>
              <w:jc w:val="both"/>
              <w:pStyle w:val="CellColumn"/>
            </w:pPr>
            <w:r>
              <w:rPr>
                <w:rFonts w:hAnsi="Times New Roman" w:cs="Times New Roman"/>
              </w:rPr>
              <w:t xml:space="preserve">45.979.625</w:t>
            </w:r>
          </w:p>
        </w:tc>
        <w:tc>
          <w:tcPr>
            <w:tcW w:w="1632.96" w:type="dxa"/>
            <w:vAlign w:val="center"/>
          </w:tcPr>
          <w:p>
            <w:pPr>
              <w:jc w:val="both"/>
              <w:pStyle w:val="CellColumn"/>
            </w:pPr>
            <w:r>
              <w:rPr>
                <w:rFonts w:hAnsi="Times New Roman" w:cs="Times New Roman"/>
              </w:rPr>
              <w:t xml:space="preserve">61.066.657</w:t>
            </w:r>
          </w:p>
        </w:tc>
        <w:tc>
          <w:tcPr>
            <w:tcW w:w="1632.96" w:type="dxa"/>
            <w:vAlign w:val="center"/>
          </w:tcPr>
          <w:p>
            <w:pPr>
              <w:jc w:val="both"/>
              <w:pStyle w:val="CellColumn"/>
            </w:pPr>
            <w:r>
              <w:rPr>
                <w:rFonts w:hAnsi="Times New Roman" w:cs="Times New Roman"/>
              </w:rPr>
              <w:t xml:space="preserve">62.136.712</w:t>
            </w:r>
          </w:p>
        </w:tc>
        <w:tc>
          <w:tcPr>
            <w:tcW w:w="1632.96" w:type="dxa"/>
            <w:vAlign w:val="center"/>
          </w:tcPr>
          <w:p>
            <w:pPr>
              <w:jc w:val="both"/>
              <w:pStyle w:val="CellColumn"/>
            </w:pPr>
            <w:r>
              <w:rPr>
                <w:rFonts w:hAnsi="Times New Roman" w:cs="Times New Roman"/>
              </w:rPr>
              <w:t xml:space="preserve">61.848.700</w:t>
            </w:r>
          </w:p>
        </w:tc>
        <w:tc>
          <w:tcPr>
            <w:tcW w:w="1632.96" w:type="dxa"/>
            <w:vAlign w:val="center"/>
          </w:tcPr>
          <w:p>
            <w:pPr>
              <w:jc w:val="both"/>
              <w:pStyle w:val="CellColumn"/>
            </w:pPr>
            <w:r>
              <w:rPr>
                <w:rFonts w:hAnsi="Times New Roman" w:cs="Times New Roman"/>
              </w:rPr>
              <w:t xml:space="preserve">60.788.661</w:t>
            </w:r>
          </w:p>
        </w:tc>
        <w:tc>
          <w:tcPr>
            <w:tcW w:w="510.3" w:type="dxa"/>
            <w:vAlign w:val="center"/>
          </w:tcPr>
          <w:p>
            <w:pPr>
              <w:jc w:val="both"/>
              <w:pStyle w:val="CellColumn"/>
            </w:pPr>
            <w:r>
              <w:rPr>
                <w:rFonts w:hAnsi="Times New Roman" w:cs="Times New Roman"/>
              </w:rPr>
              <w:t xml:space="preserve">101,8</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45.979.625</w:t>
            </w:r>
          </w:p>
        </w:tc>
        <w:tc>
          <w:tcPr>
            <w:tcW w:w="1632.96" w:type="dxa"/>
            <w:vAlign w:val="center"/>
          </w:tcPr>
          <w:p>
            <w:pPr>
              <w:jc w:val="both"/>
              <w:pStyle w:val="CellColumn"/>
            </w:pPr>
            <w:r>
              <w:rPr>
                <w:rFonts w:hAnsi="Times New Roman" w:cs="Times New Roman"/>
              </w:rPr>
              <w:t xml:space="preserve">61.066.657</w:t>
            </w:r>
          </w:p>
        </w:tc>
        <w:tc>
          <w:tcPr>
            <w:tcW w:w="1632.96" w:type="dxa"/>
            <w:vAlign w:val="center"/>
          </w:tcPr>
          <w:p>
            <w:pPr>
              <w:jc w:val="both"/>
              <w:pStyle w:val="CellColumn"/>
            </w:pPr>
            <w:r>
              <w:rPr>
                <w:rFonts w:hAnsi="Times New Roman" w:cs="Times New Roman"/>
              </w:rPr>
              <w:t xml:space="preserve">62.136.712</w:t>
            </w:r>
          </w:p>
        </w:tc>
        <w:tc>
          <w:tcPr>
            <w:tcW w:w="1632.96" w:type="dxa"/>
            <w:vAlign w:val="center"/>
          </w:tcPr>
          <w:p>
            <w:pPr>
              <w:jc w:val="both"/>
              <w:pStyle w:val="CellColumn"/>
            </w:pPr>
            <w:r>
              <w:rPr>
                <w:rFonts w:hAnsi="Times New Roman" w:cs="Times New Roman"/>
              </w:rPr>
              <w:t xml:space="preserve">61.848.700</w:t>
            </w:r>
          </w:p>
        </w:tc>
        <w:tc>
          <w:tcPr>
            <w:tcW w:w="1632.96" w:type="dxa"/>
            <w:vAlign w:val="center"/>
          </w:tcPr>
          <w:p>
            <w:pPr>
              <w:jc w:val="both"/>
              <w:pStyle w:val="CellColumn"/>
            </w:pPr>
            <w:r>
              <w:rPr>
                <w:rFonts w:hAnsi="Times New Roman" w:cs="Times New Roman"/>
              </w:rPr>
              <w:t xml:space="preserve">60.788.661</w:t>
            </w:r>
          </w:p>
        </w:tc>
        <w:tc>
          <w:tcPr>
            <w:tcW w:w="510.3" w:type="dxa"/>
            <w:vAlign w:val="center"/>
          </w:tcPr>
          <w:p>
            <w:pPr>
              <w:jc w:val="both"/>
              <w:pStyle w:val="CellColumn"/>
            </w:pPr>
            <w:r>
              <w:rPr>
                <w:rFonts w:hAnsi="Times New Roman" w:cs="Times New Roman"/>
              </w:rPr>
              <w:t xml:space="preserve">101,8</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predmeta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103</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101</w:t>
            </w:r>
          </w:p>
        </w:tc>
        <w:tc>
          <w:tcPr>
            <w:tcW w:w="918.54" w:type="dxa"/>
            <w:vAlign w:val="center"/>
          </w:tcPr>
          <w:p>
            <w:pPr>
              <w:jc w:val="both"/>
              <w:pStyle w:val="CellColumn"/>
            </w:pPr>
            <w:r>
              <w:rPr>
                <w:rFonts w:hAnsi="Times New Roman" w:cs="Times New Roman"/>
              </w:rPr>
              <w:t xml:space="preserve">101</w:t>
            </w:r>
          </w:p>
        </w:tc>
        <w:tc>
          <w:tcPr>
            <w:tcW w:w="918.54" w:type="dxa"/>
            <w:vAlign w:val="center"/>
          </w:tcPr>
          <w:p>
            <w:pPr>
              <w:jc w:val="both"/>
              <w:pStyle w:val="CellColumn"/>
            </w:pPr>
            <w:r>
              <w:rPr>
                <w:rFonts w:hAnsi="Times New Roman" w:cs="Times New Roman"/>
              </w:rPr>
              <w:t xml:space="preserve">101</w:t>
            </w:r>
          </w:p>
        </w:tc>
      </w:tr>
    </w:tbl>
    <w:p>
      <w:pPr>
        <w:jc w:val="left"/>
      </w:pPr>
      <w:r>
        <w:rPr>
          <w:rFonts w:hAnsi="Times New Roman" w:cs="Times New Roman"/>
        </w:rPr>
        <w:t xml:space="preserve"/>
      </w:r>
    </w:p>
    <w:p>
      <w:pPr>
        <w:jc w:val="left"/>
        <w:pStyle w:val="Heading4"/>
      </w:pPr>
      <w:r>
        <w:rPr>
          <w:rFonts w:hAnsi="Times New Roman" w:cs="Times New Roman"/>
        </w:rPr>
        <w:t xml:space="preserve">A638000 VOĐENJE SUDSKIH POSTUPAKA IZ NADLEŽNOSTI ŽUPANIJSKIH SUDOVA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područjima i sjedištima sudova, Zakon o Uredu za suzbijanje korupcije i organiziranog kriminaliteta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A638000-VOĐENJE SUDSKIH POSTUPAKA IZ NADLEŽNOSTI ŽUPANIJSKIH SUDOVA</w:t>
            </w:r>
          </w:p>
        </w:tc>
        <w:tc>
          <w:tcPr>
            <w:tcW w:w="1632.96" w:type="dxa"/>
            <w:vAlign w:val="center"/>
          </w:tcPr>
          <w:p>
            <w:pPr>
              <w:jc w:val="both"/>
              <w:pStyle w:val="CellColumn"/>
            </w:pPr>
            <w:r>
              <w:rPr>
                <w:rFonts w:hAnsi="Times New Roman" w:cs="Times New Roman"/>
              </w:rPr>
              <w:t xml:space="preserve">45.979.625</w:t>
            </w:r>
          </w:p>
        </w:tc>
        <w:tc>
          <w:tcPr>
            <w:tcW w:w="1632.96" w:type="dxa"/>
            <w:vAlign w:val="center"/>
          </w:tcPr>
          <w:p>
            <w:pPr>
              <w:jc w:val="both"/>
              <w:pStyle w:val="CellColumn"/>
            </w:pPr>
            <w:r>
              <w:rPr>
                <w:rFonts w:hAnsi="Times New Roman" w:cs="Times New Roman"/>
              </w:rPr>
              <w:t xml:space="preserve">61.066.657</w:t>
            </w:r>
          </w:p>
        </w:tc>
        <w:tc>
          <w:tcPr>
            <w:tcW w:w="1632.96" w:type="dxa"/>
            <w:vAlign w:val="center"/>
          </w:tcPr>
          <w:p>
            <w:pPr>
              <w:jc w:val="both"/>
              <w:pStyle w:val="CellColumn"/>
            </w:pPr>
            <w:r>
              <w:rPr>
                <w:rFonts w:hAnsi="Times New Roman" w:cs="Times New Roman"/>
              </w:rPr>
              <w:t xml:space="preserve">62.136.712</w:t>
            </w:r>
          </w:p>
        </w:tc>
        <w:tc>
          <w:tcPr>
            <w:tcW w:w="1632.96" w:type="dxa"/>
            <w:vAlign w:val="center"/>
          </w:tcPr>
          <w:p>
            <w:pPr>
              <w:jc w:val="both"/>
              <w:pStyle w:val="CellColumn"/>
            </w:pPr>
            <w:r>
              <w:rPr>
                <w:rFonts w:hAnsi="Times New Roman" w:cs="Times New Roman"/>
              </w:rPr>
              <w:t xml:space="preserve">61.848.700</w:t>
            </w:r>
          </w:p>
        </w:tc>
        <w:tc>
          <w:tcPr>
            <w:tcW w:w="1632.96" w:type="dxa"/>
            <w:vAlign w:val="center"/>
          </w:tcPr>
          <w:p>
            <w:pPr>
              <w:jc w:val="both"/>
              <w:pStyle w:val="CellColumn"/>
            </w:pPr>
            <w:r>
              <w:rPr>
                <w:rFonts w:hAnsi="Times New Roman" w:cs="Times New Roman"/>
              </w:rPr>
              <w:t xml:space="preserve">60.788.661</w:t>
            </w:r>
          </w:p>
        </w:tc>
        <w:tc>
          <w:tcPr>
            <w:tcW w:w="510.3" w:type="dxa"/>
            <w:vAlign w:val="center"/>
          </w:tcPr>
          <w:p>
            <w:pPr>
              <w:jc w:val="both"/>
              <w:pStyle w:val="CellColumn"/>
            </w:pPr>
            <w:r>
              <w:rPr>
                <w:rFonts w:hAnsi="Times New Roman" w:cs="Times New Roman"/>
              </w:rPr>
              <w:t xml:space="preserve">101,8</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županijskih sudova u kojima ima ukupno 1.164 zaposlenih, od čega 373 pravosudna dužnosnika, 661 službenik i 130 namještenika. Od ukupno planiranog iznosa u 2025. godini na sredstva za plaće i doprinose odnosi se 43.832.647 € (osnovica za obračun plaće pravosudnim dužnosnicima iznosi 787,85 € uvećana za pripadajući koeficijent i minuli rad; osnovica za obračun plaće službenicima i namještenicima iznosi 947,18 € uvećana za pripadajući koeficijent i minuli rad), na ostale rashode za zaposlene (prava po Kolektivnom ugovoru) odnosi se 1.165.059 €, na naknade za prijevoz na posao i s posla 940.291 €, dok se ostatak sredstava odnosi na materijalne izdatke na kojima se najveći iznosi iskazuju na rashodima za intelektualne usluge u iznosu 6.218.315 €  (usluge odvjetnika po službenoj dužnosti, usluge vještaka, prevoditelja i tumača u sudskim postupcima, usluge sudaca porotnika), rashodima za usluge pošte i telefona 714.219 €, rashodima za energiju 1.497.035 €, na uredskom materijalu 489.100 € te na rashodima za dodatna ulaganja na građevinskim objektima u iznosu 5.188.500 €, zbog potrebe sanacije i uređenja zgrada pravosudnih tijela. Od ukupno planiranog iznosa u 2026. godini na sredstva za plaće i doprinose odnosi se 44.317.057 €, na ostale rashode za zaposlene (prava po Kolektivnom ugovoru) 1.161.883 €, na naknade za prijevoz na posao i s posla 965.049 €, na dodatna ulaganja na građevinskim objektima 4.430.000 €, dok se ostatak sredstava odnosi na materijalne izdatke na kojima su najveći iznosi iskazani na istim stavkama rashoda kao i u prethodnoj godini. Od ukupno planiranog iznosa u 2027. godini na sredstva za plaće i doprinose odnosi se 44.559.745 €, na ostale rashode za zaposlene (prava po Kolektivnom ugovoru) 1.171.989 €, na naknade za prijevoz na posao i s posla 965.649 €, na dodatna ulaganja na građevinskim objektima 3.010.000 €, dok se ostatak sredstava odnosi na materijalne izdatke na kojima su najveći iznosi iskazani na istim stavkama rashoda kao i u prethodnim godinama. U 2026. i 2027. godini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26.000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30.000</w:t>
            </w:r>
          </w:p>
        </w:tc>
        <w:tc>
          <w:tcPr>
            <w:tcW w:w="918.54" w:type="dxa"/>
            <w:vAlign w:val="center"/>
          </w:tcPr>
          <w:p>
            <w:pPr>
              <w:jc w:val="both"/>
              <w:pStyle w:val="CellColumn"/>
            </w:pPr>
            <w:r>
              <w:rPr>
                <w:rFonts w:hAnsi="Times New Roman" w:cs="Times New Roman"/>
              </w:rPr>
              <w:t xml:space="preserve">28.000</w:t>
            </w:r>
          </w:p>
        </w:tc>
        <w:tc>
          <w:tcPr>
            <w:tcW w:w="918.54" w:type="dxa"/>
            <w:vAlign w:val="center"/>
          </w:tcPr>
          <w:p>
            <w:pPr>
              <w:jc w:val="both"/>
              <w:pStyle w:val="CellColumn"/>
            </w:pPr>
            <w:r>
              <w:rPr>
                <w:rFonts w:hAnsi="Times New Roman" w:cs="Times New Roman"/>
              </w:rPr>
              <w:t xml:space="preserve">26.000</w:t>
            </w:r>
          </w:p>
        </w:tc>
      </w:tr>
    </w:tbl>
    <w:p>
      <w:pPr>
        <w:jc w:val="left"/>
      </w:pPr>
      <w:r>
        <w:rPr>
          <w:rFonts w:hAnsi="Times New Roman" w:cs="Times New Roman"/>
        </w:rPr>
        <w:t xml:space="preserve"/>
      </w:r>
    </w:p>
    <w:p>
      <w:pPr>
        <w:jc w:val="left"/>
        <w:pStyle w:val="Heading2"/>
      </w:pPr>
      <w:r>
        <w:rPr>
          <w:rFonts w:hAnsi="Times New Roman" w:cs="Times New Roman"/>
        </w:rPr>
        <w:t xml:space="preserve">10970 Trgovački sudovi</w:t>
      </w:r>
    </w:p>
    <w:p>
      <w:pPr>
        <w:jc w:val="both"/>
        <w:pStyle w:val="Normal3"/>
      </w:pPr>
      <w:r>
        <w:rPr>
          <w:rFonts w:hAnsi="Times New Roman" w:cs="Times New Roman"/>
        </w:rPr>
        <w:t xml:space="preserve">Zakonom o područjima i sjedištima sudova iz 2018. ustanovljeno je 9 specijaliziranih trgovačkih sudova i to: Bjelovar, Dubrovnik, Osijek, Pazin, Rijeka, Split, Varaždin, Zadar i Zagreb, koji odlučuju u parničnim i izvanparničnim stvarima kada je to propisano posebnim zakonom, postupaju u registarskih stvarima i vode sudske registre, odlučuju o prijedlozima u svezi s osnivanjem, radom i prestankom trgovačkog društva, odlučuju o prijedlozima za otvaranje stečajnog postupka i provode predstečajne i stečajne postupke, odlučuju o upisima u upisnik brodova i jahti u onim stvarima koje su Pomorskim zakonima stavljene u nadležnost trgovačkog suda, ograničenju odgovornosti brodara, prigovorima protiv konačne diobe osnove za likvidaciju zajedničke havarije, ako zakonom za pojedinu vrstu predmeta nije drukčije određeno, provode postupak priznanja inozemnih sudskih odluka, kao i arbitražnih odluka u trgovačkim sporovima, provode osiguranje dokaza za postupke za koje su inače nadležni, određuju mjere osiguranja u postupcima i povodom postupaka u kojima su inače nadležni, obavljaju poslove međunarodne pravne pomoći u izvođenju dokaza u trgovačkim stvarima i druge poslove određene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10970-Trgovački sudovi</w:t>
            </w:r>
          </w:p>
        </w:tc>
        <w:tc>
          <w:tcPr>
            <w:tcW w:w="1632.96" w:type="dxa"/>
            <w:vAlign w:val="center"/>
          </w:tcPr>
          <w:p>
            <w:pPr>
              <w:jc w:val="both"/>
              <w:pStyle w:val="CellColumn"/>
            </w:pPr>
            <w:r>
              <w:rPr>
                <w:rFonts w:hAnsi="Times New Roman" w:cs="Times New Roman"/>
              </w:rPr>
              <w:t xml:space="preserve">15.169.977</w:t>
            </w:r>
          </w:p>
        </w:tc>
        <w:tc>
          <w:tcPr>
            <w:tcW w:w="1632.96" w:type="dxa"/>
            <w:vAlign w:val="center"/>
          </w:tcPr>
          <w:p>
            <w:pPr>
              <w:jc w:val="both"/>
              <w:pStyle w:val="CellColumn"/>
            </w:pPr>
            <w:r>
              <w:rPr>
                <w:rFonts w:hAnsi="Times New Roman" w:cs="Times New Roman"/>
              </w:rPr>
              <w:t xml:space="preserve">20.107.323</w:t>
            </w:r>
          </w:p>
        </w:tc>
        <w:tc>
          <w:tcPr>
            <w:tcW w:w="1632.96" w:type="dxa"/>
            <w:vAlign w:val="center"/>
          </w:tcPr>
          <w:p>
            <w:pPr>
              <w:jc w:val="both"/>
              <w:pStyle w:val="CellColumn"/>
            </w:pPr>
            <w:r>
              <w:rPr>
                <w:rFonts w:hAnsi="Times New Roman" w:cs="Times New Roman"/>
              </w:rPr>
              <w:t xml:space="preserve">20.369.583</w:t>
            </w:r>
          </w:p>
        </w:tc>
        <w:tc>
          <w:tcPr>
            <w:tcW w:w="1632.96" w:type="dxa"/>
            <w:vAlign w:val="center"/>
          </w:tcPr>
          <w:p>
            <w:pPr>
              <w:jc w:val="both"/>
              <w:pStyle w:val="CellColumn"/>
            </w:pPr>
            <w:r>
              <w:rPr>
                <w:rFonts w:hAnsi="Times New Roman" w:cs="Times New Roman"/>
              </w:rPr>
              <w:t xml:space="preserve">20.359.278</w:t>
            </w:r>
          </w:p>
        </w:tc>
        <w:tc>
          <w:tcPr>
            <w:tcW w:w="1632.96" w:type="dxa"/>
            <w:vAlign w:val="center"/>
          </w:tcPr>
          <w:p>
            <w:pPr>
              <w:jc w:val="both"/>
              <w:pStyle w:val="CellColumn"/>
            </w:pPr>
            <w:r>
              <w:rPr>
                <w:rFonts w:hAnsi="Times New Roman" w:cs="Times New Roman"/>
              </w:rPr>
              <w:t xml:space="preserve">20.372.428</w:t>
            </w:r>
          </w:p>
        </w:tc>
        <w:tc>
          <w:tcPr>
            <w:tcW w:w="510.3" w:type="dxa"/>
            <w:vAlign w:val="center"/>
          </w:tcPr>
          <w:p>
            <w:pPr>
              <w:jc w:val="both"/>
              <w:pStyle w:val="CellColumn"/>
            </w:pPr>
            <w:r>
              <w:rPr>
                <w:rFonts w:hAnsi="Times New Roman" w:cs="Times New Roman"/>
              </w:rPr>
              <w:t xml:space="preserve">101,3</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15.169.977</w:t>
            </w:r>
          </w:p>
        </w:tc>
        <w:tc>
          <w:tcPr>
            <w:tcW w:w="1632.96" w:type="dxa"/>
            <w:vAlign w:val="center"/>
          </w:tcPr>
          <w:p>
            <w:pPr>
              <w:jc w:val="both"/>
              <w:pStyle w:val="CellColumn"/>
            </w:pPr>
            <w:r>
              <w:rPr>
                <w:rFonts w:hAnsi="Times New Roman" w:cs="Times New Roman"/>
              </w:rPr>
              <w:t xml:space="preserve">20.107.323</w:t>
            </w:r>
          </w:p>
        </w:tc>
        <w:tc>
          <w:tcPr>
            <w:tcW w:w="1632.96" w:type="dxa"/>
            <w:vAlign w:val="center"/>
          </w:tcPr>
          <w:p>
            <w:pPr>
              <w:jc w:val="both"/>
              <w:pStyle w:val="CellColumn"/>
            </w:pPr>
            <w:r>
              <w:rPr>
                <w:rFonts w:hAnsi="Times New Roman" w:cs="Times New Roman"/>
              </w:rPr>
              <w:t xml:space="preserve">20.369.583</w:t>
            </w:r>
          </w:p>
        </w:tc>
        <w:tc>
          <w:tcPr>
            <w:tcW w:w="1632.96" w:type="dxa"/>
            <w:vAlign w:val="center"/>
          </w:tcPr>
          <w:p>
            <w:pPr>
              <w:jc w:val="both"/>
              <w:pStyle w:val="CellColumn"/>
            </w:pPr>
            <w:r>
              <w:rPr>
                <w:rFonts w:hAnsi="Times New Roman" w:cs="Times New Roman"/>
              </w:rPr>
              <w:t xml:space="preserve">20.359.278</w:t>
            </w:r>
          </w:p>
        </w:tc>
        <w:tc>
          <w:tcPr>
            <w:tcW w:w="1632.96" w:type="dxa"/>
            <w:vAlign w:val="center"/>
          </w:tcPr>
          <w:p>
            <w:pPr>
              <w:jc w:val="both"/>
              <w:pStyle w:val="CellColumn"/>
            </w:pPr>
            <w:r>
              <w:rPr>
                <w:rFonts w:hAnsi="Times New Roman" w:cs="Times New Roman"/>
              </w:rPr>
              <w:t xml:space="preserve">20.372.428</w:t>
            </w:r>
          </w:p>
        </w:tc>
        <w:tc>
          <w:tcPr>
            <w:tcW w:w="510.3" w:type="dxa"/>
            <w:vAlign w:val="center"/>
          </w:tcPr>
          <w:p>
            <w:pPr>
              <w:jc w:val="both"/>
              <w:pStyle w:val="CellColumn"/>
            </w:pPr>
            <w:r>
              <w:rPr>
                <w:rFonts w:hAnsi="Times New Roman" w:cs="Times New Roman"/>
              </w:rPr>
              <w:t xml:space="preserve">101,3</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112</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107</w:t>
            </w:r>
          </w:p>
        </w:tc>
        <w:tc>
          <w:tcPr>
            <w:tcW w:w="918.54" w:type="dxa"/>
            <w:vAlign w:val="center"/>
          </w:tcPr>
          <w:p>
            <w:pPr>
              <w:jc w:val="both"/>
              <w:pStyle w:val="CellColumn"/>
            </w:pPr>
            <w:r>
              <w:rPr>
                <w:rFonts w:hAnsi="Times New Roman" w:cs="Times New Roman"/>
              </w:rPr>
              <w:t xml:space="preserve">110</w:t>
            </w:r>
          </w:p>
        </w:tc>
        <w:tc>
          <w:tcPr>
            <w:tcW w:w="918.54" w:type="dxa"/>
            <w:vAlign w:val="center"/>
          </w:tcPr>
          <w:p>
            <w:pPr>
              <w:jc w:val="both"/>
              <w:pStyle w:val="CellColumn"/>
            </w:pPr>
            <w:r>
              <w:rPr>
                <w:rFonts w:hAnsi="Times New Roman" w:cs="Times New Roman"/>
              </w:rPr>
              <w:t xml:space="preserve">110</w:t>
            </w:r>
          </w:p>
        </w:tc>
      </w:tr>
    </w:tbl>
    <w:p>
      <w:pPr>
        <w:jc w:val="left"/>
      </w:pPr>
      <w:r>
        <w:rPr>
          <w:rFonts w:hAnsi="Times New Roman" w:cs="Times New Roman"/>
        </w:rPr>
        <w:t xml:space="preserve"/>
      </w:r>
    </w:p>
    <w:p>
      <w:pPr>
        <w:jc w:val="left"/>
        <w:pStyle w:val="Heading4"/>
      </w:pPr>
      <w:r>
        <w:rPr>
          <w:rFonts w:hAnsi="Times New Roman" w:cs="Times New Roman"/>
        </w:rPr>
        <w:t xml:space="preserve">A639000 VOĐENJE SUDSKIH POSTUPAKA IZ NADLEŽNOSTI TRGOVAČKIH SUDOVA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područjima i sjedištima sudova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A639000-VOĐENJE SUDSKIH POSTUPAKA IZ NADLEŽNOSTI TRGOVAČKIH SUDOVA</w:t>
            </w:r>
          </w:p>
        </w:tc>
        <w:tc>
          <w:tcPr>
            <w:tcW w:w="1632.96" w:type="dxa"/>
            <w:vAlign w:val="center"/>
          </w:tcPr>
          <w:p>
            <w:pPr>
              <w:jc w:val="both"/>
              <w:pStyle w:val="CellColumn"/>
            </w:pPr>
            <w:r>
              <w:rPr>
                <w:rFonts w:hAnsi="Times New Roman" w:cs="Times New Roman"/>
              </w:rPr>
              <w:t xml:space="preserve">15.169.977</w:t>
            </w:r>
          </w:p>
        </w:tc>
        <w:tc>
          <w:tcPr>
            <w:tcW w:w="1632.96" w:type="dxa"/>
            <w:vAlign w:val="center"/>
          </w:tcPr>
          <w:p>
            <w:pPr>
              <w:jc w:val="both"/>
              <w:pStyle w:val="CellColumn"/>
            </w:pPr>
            <w:r>
              <w:rPr>
                <w:rFonts w:hAnsi="Times New Roman" w:cs="Times New Roman"/>
              </w:rPr>
              <w:t xml:space="preserve">20.107.323</w:t>
            </w:r>
          </w:p>
        </w:tc>
        <w:tc>
          <w:tcPr>
            <w:tcW w:w="1632.96" w:type="dxa"/>
            <w:vAlign w:val="center"/>
          </w:tcPr>
          <w:p>
            <w:pPr>
              <w:jc w:val="both"/>
              <w:pStyle w:val="CellColumn"/>
            </w:pPr>
            <w:r>
              <w:rPr>
                <w:rFonts w:hAnsi="Times New Roman" w:cs="Times New Roman"/>
              </w:rPr>
              <w:t xml:space="preserve">20.369.583</w:t>
            </w:r>
          </w:p>
        </w:tc>
        <w:tc>
          <w:tcPr>
            <w:tcW w:w="1632.96" w:type="dxa"/>
            <w:vAlign w:val="center"/>
          </w:tcPr>
          <w:p>
            <w:pPr>
              <w:jc w:val="both"/>
              <w:pStyle w:val="CellColumn"/>
            </w:pPr>
            <w:r>
              <w:rPr>
                <w:rFonts w:hAnsi="Times New Roman" w:cs="Times New Roman"/>
              </w:rPr>
              <w:t xml:space="preserve">20.359.278</w:t>
            </w:r>
          </w:p>
        </w:tc>
        <w:tc>
          <w:tcPr>
            <w:tcW w:w="1632.96" w:type="dxa"/>
            <w:vAlign w:val="center"/>
          </w:tcPr>
          <w:p>
            <w:pPr>
              <w:jc w:val="both"/>
              <w:pStyle w:val="CellColumn"/>
            </w:pPr>
            <w:r>
              <w:rPr>
                <w:rFonts w:hAnsi="Times New Roman" w:cs="Times New Roman"/>
              </w:rPr>
              <w:t xml:space="preserve">20.372.428</w:t>
            </w:r>
          </w:p>
        </w:tc>
        <w:tc>
          <w:tcPr>
            <w:tcW w:w="510.3" w:type="dxa"/>
            <w:vAlign w:val="center"/>
          </w:tcPr>
          <w:p>
            <w:pPr>
              <w:jc w:val="both"/>
              <w:pStyle w:val="CellColumn"/>
            </w:pPr>
            <w:r>
              <w:rPr>
                <w:rFonts w:hAnsi="Times New Roman" w:cs="Times New Roman"/>
              </w:rPr>
              <w:t xml:space="preserve">101,3</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financiranje rashoda za zaposlene i materijalnih rashoda potrebnih za redovan rad trgovačkih sudova, u kojima je ukupno 664 zaposlenih, od čega 120 pravosudnih dužnosnika i 544 službenika i namještenika. Od ukupno planiranog iznosa u 2025. na sredstva za plaće i doprinose odnosi se 16.951.393 € (osnovica za obračun plaće pravosudnim dužnosnicima iznosi 787,75 € uvećana za pripadajući koeficijent i minuli rad; osnovica za obračun plaće službenicima i namještenicima iznosi 947,18 € uvećana za pripadajući koeficijent i minuli rad). Na ostale rashode za zaposlene (prava po Kolektivnom ugovoru) odnosi se 557.967 €, na naknade za prijevoz na posao i s posla 497.070 €, dok se ostala planirana sredstva odnose na materijalne zdatke na ko ijima se najveći iznosi iskazuju na rashodima za usluge pošte i telefona u iznosu 376.588 €, za energiju 375.053 € te uredski materijal 256.499 €. Od ukupno planiranog iznosa u 2026. na sredstva za plaće i doprinose odnosi se 17.157.179 €, na ostale rashode za zaposlene (prava po Kolektivnom ugovoru) 531.004 €, na naknade za prijevoz na posao i s posla 500.070 €, dok se ostala planirana sredstava odnose na materijalne izdatke, na kojima zn se najveći iosi iskazuju na istim stavkama rashoda kao i u prethodnoj godini. Od ukupno planiranog iznosa u 2027. godini na sredstva za plaće i doprinose odnosi se 17.187.659 €, na ostale rashode za zaposlene (prava po Kolektivnom ugovoru) 566.206 €, na prijevoz na posao i s posla 508.250 €, dok se ostatak sredstava odnosi na materijalne izdatke na kojima se najveći iznosi iskazuju na istim stavkama rashoda kao i u prethodnoj godini. U 2026. i 2027. godini sredstva za zaposlene povećana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13.900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13.900</w:t>
            </w:r>
          </w:p>
        </w:tc>
        <w:tc>
          <w:tcPr>
            <w:tcW w:w="918.54" w:type="dxa"/>
            <w:vAlign w:val="center"/>
          </w:tcPr>
          <w:p>
            <w:pPr>
              <w:jc w:val="both"/>
              <w:pStyle w:val="CellColumn"/>
            </w:pPr>
            <w:r>
              <w:rPr>
                <w:rFonts w:hAnsi="Times New Roman" w:cs="Times New Roman"/>
              </w:rPr>
              <w:t xml:space="preserve">13.000</w:t>
            </w:r>
          </w:p>
        </w:tc>
        <w:tc>
          <w:tcPr>
            <w:tcW w:w="918.54" w:type="dxa"/>
            <w:vAlign w:val="center"/>
          </w:tcPr>
          <w:p>
            <w:pPr>
              <w:jc w:val="both"/>
              <w:pStyle w:val="CellColumn"/>
            </w:pPr>
            <w:r>
              <w:rPr>
                <w:rFonts w:hAnsi="Times New Roman" w:cs="Times New Roman"/>
              </w:rPr>
              <w:t xml:space="preserve">12.000</w:t>
            </w:r>
          </w:p>
        </w:tc>
      </w:tr>
    </w:tbl>
    <w:p>
      <w:pPr>
        <w:jc w:val="left"/>
      </w:pPr>
      <w:r>
        <w:rPr>
          <w:rFonts w:hAnsi="Times New Roman" w:cs="Times New Roman"/>
        </w:rPr>
        <w:t xml:space="preserve"/>
      </w:r>
    </w:p>
    <w:p>
      <w:pPr>
        <w:jc w:val="left"/>
        <w:pStyle w:val="Heading2"/>
      </w:pPr>
      <w:r>
        <w:rPr>
          <w:rFonts w:hAnsi="Times New Roman" w:cs="Times New Roman"/>
        </w:rPr>
        <w:t xml:space="preserve">10975 Županijska državna odvjetništva</w:t>
      </w:r>
    </w:p>
    <w:p>
      <w:pPr>
        <w:jc w:val="both"/>
        <w:pStyle w:val="Normal3"/>
      </w:pPr>
      <w:r>
        <w:rPr>
          <w:rFonts w:hAnsi="Times New Roman" w:cs="Times New Roman"/>
        </w:rPr>
        <w:t xml:space="preserve">Zakonom o državnom odvjetništvu iz 2018. propisano je da županijska državna odvjetništva postupaju pred županijskim, trgovačkim i upravnim sudovima. Zakonom o područjima i sjedištima državnih odvjetništava regulirano je sjedište i područje nadležnosti 15 županijskih državnih odvjetništava i to: Bjelovar, Dubrovnik, Karlovac, Osijek, Pula, Rijeka, Sisak, Slavonski Brod, Split, Šibenik, Varaždin, Velika Gorica, Vukovar, Zadar i Zagreb. Županijska državna odvjetništva su samostalna i neovisna pravosudna tijela ovlaštena i dužna postupati protiv počinitelja kaznenih djela i drugih kažnjivih djela, poduzimati pravne radnje radi zaštite imovine Republike Hrvatske te podnositi pravna sredstva za zaštitu Ustava i Zakona. Stvarna i mjesna nadležnost državnog odvjetništva određuje se prema odredbama zakona kojima se utvrđuje nadležnost sudova pred kojima izvršavaju svoje ovlasti, ako člancima Zakona o državnom odvjetništvu nije drukčije određeno.</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10975-Županijska državna odvjetništva</w:t>
            </w:r>
          </w:p>
        </w:tc>
        <w:tc>
          <w:tcPr>
            <w:tcW w:w="1632.96" w:type="dxa"/>
            <w:vAlign w:val="center"/>
          </w:tcPr>
          <w:p>
            <w:pPr>
              <w:jc w:val="both"/>
              <w:pStyle w:val="CellColumn"/>
            </w:pPr>
            <w:r>
              <w:rPr>
                <w:rFonts w:hAnsi="Times New Roman" w:cs="Times New Roman"/>
              </w:rPr>
              <w:t xml:space="preserve">17.011.115</w:t>
            </w:r>
          </w:p>
        </w:tc>
        <w:tc>
          <w:tcPr>
            <w:tcW w:w="1632.96" w:type="dxa"/>
            <w:vAlign w:val="center"/>
          </w:tcPr>
          <w:p>
            <w:pPr>
              <w:jc w:val="both"/>
              <w:pStyle w:val="CellColumn"/>
            </w:pPr>
            <w:r>
              <w:rPr>
                <w:rFonts w:hAnsi="Times New Roman" w:cs="Times New Roman"/>
              </w:rPr>
              <w:t xml:space="preserve">22.443.739</w:t>
            </w:r>
          </w:p>
        </w:tc>
        <w:tc>
          <w:tcPr>
            <w:tcW w:w="1632.96" w:type="dxa"/>
            <w:vAlign w:val="center"/>
          </w:tcPr>
          <w:p>
            <w:pPr>
              <w:jc w:val="both"/>
              <w:pStyle w:val="CellColumn"/>
            </w:pPr>
            <w:r>
              <w:rPr>
                <w:rFonts w:hAnsi="Times New Roman" w:cs="Times New Roman"/>
              </w:rPr>
              <w:t xml:space="preserve">23.661.851</w:t>
            </w:r>
          </w:p>
        </w:tc>
        <w:tc>
          <w:tcPr>
            <w:tcW w:w="1632.96" w:type="dxa"/>
            <w:vAlign w:val="center"/>
          </w:tcPr>
          <w:p>
            <w:pPr>
              <w:jc w:val="both"/>
              <w:pStyle w:val="CellColumn"/>
            </w:pPr>
            <w:r>
              <w:rPr>
                <w:rFonts w:hAnsi="Times New Roman" w:cs="Times New Roman"/>
              </w:rPr>
              <w:t xml:space="preserve">23.277.644</w:t>
            </w:r>
          </w:p>
        </w:tc>
        <w:tc>
          <w:tcPr>
            <w:tcW w:w="1632.96" w:type="dxa"/>
            <w:vAlign w:val="center"/>
          </w:tcPr>
          <w:p>
            <w:pPr>
              <w:jc w:val="both"/>
              <w:pStyle w:val="CellColumn"/>
            </w:pPr>
            <w:r>
              <w:rPr>
                <w:rFonts w:hAnsi="Times New Roman" w:cs="Times New Roman"/>
              </w:rPr>
              <w:t xml:space="preserve">23.567.684</w:t>
            </w:r>
          </w:p>
        </w:tc>
        <w:tc>
          <w:tcPr>
            <w:tcW w:w="510.3" w:type="dxa"/>
            <w:vAlign w:val="center"/>
          </w:tcPr>
          <w:p>
            <w:pPr>
              <w:jc w:val="both"/>
              <w:pStyle w:val="CellColumn"/>
            </w:pPr>
            <w:r>
              <w:rPr>
                <w:rFonts w:hAnsi="Times New Roman" w:cs="Times New Roman"/>
              </w:rPr>
              <w:t xml:space="preserve">105,4</w:t>
            </w:r>
          </w:p>
        </w:tc>
      </w:tr>
    </w:tbl>
    <w:p>
      <w:pPr>
        <w:jc w:val="left"/>
      </w:pPr>
      <w:r>
        <w:rPr>
          <w:rFonts w:hAnsi="Times New Roman" w:cs="Times New Roman"/>
        </w:rPr>
        <w:t xml:space="preserve"/>
      </w:r>
    </w:p>
    <w:p>
      <w:pPr>
        <w:jc w:val="left"/>
        <w:pStyle w:val="Heading3"/>
      </w:pPr>
      <w:r>
        <w:rPr>
          <w:rFonts w:hAnsi="Times New Roman" w:cs="Times New Roman"/>
        </w:rPr>
        <w:t xml:space="preserve">2812 DJELOVANJE DRŽAVNIH ODVJETNIŠTAVA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2812-DJELOVANJE DRŽAVNIH ODVJETNIŠTAVA</w:t>
            </w:r>
          </w:p>
        </w:tc>
        <w:tc>
          <w:tcPr>
            <w:tcW w:w="1632.96" w:type="dxa"/>
            <w:vAlign w:val="center"/>
          </w:tcPr>
          <w:p>
            <w:pPr>
              <w:jc w:val="both"/>
              <w:pStyle w:val="CellColumn"/>
            </w:pPr>
            <w:r>
              <w:rPr>
                <w:rFonts w:hAnsi="Times New Roman" w:cs="Times New Roman"/>
              </w:rPr>
              <w:t xml:space="preserve">17.011.115</w:t>
            </w:r>
          </w:p>
        </w:tc>
        <w:tc>
          <w:tcPr>
            <w:tcW w:w="1632.96" w:type="dxa"/>
            <w:vAlign w:val="center"/>
          </w:tcPr>
          <w:p>
            <w:pPr>
              <w:jc w:val="both"/>
              <w:pStyle w:val="CellColumn"/>
            </w:pPr>
            <w:r>
              <w:rPr>
                <w:rFonts w:hAnsi="Times New Roman" w:cs="Times New Roman"/>
              </w:rPr>
              <w:t xml:space="preserve">22.443.739</w:t>
            </w:r>
          </w:p>
        </w:tc>
        <w:tc>
          <w:tcPr>
            <w:tcW w:w="1632.96" w:type="dxa"/>
            <w:vAlign w:val="center"/>
          </w:tcPr>
          <w:p>
            <w:pPr>
              <w:jc w:val="both"/>
              <w:pStyle w:val="CellColumn"/>
            </w:pPr>
            <w:r>
              <w:rPr>
                <w:rFonts w:hAnsi="Times New Roman" w:cs="Times New Roman"/>
              </w:rPr>
              <w:t xml:space="preserve">23.661.851</w:t>
            </w:r>
          </w:p>
        </w:tc>
        <w:tc>
          <w:tcPr>
            <w:tcW w:w="1632.96" w:type="dxa"/>
            <w:vAlign w:val="center"/>
          </w:tcPr>
          <w:p>
            <w:pPr>
              <w:jc w:val="both"/>
              <w:pStyle w:val="CellColumn"/>
            </w:pPr>
            <w:r>
              <w:rPr>
                <w:rFonts w:hAnsi="Times New Roman" w:cs="Times New Roman"/>
              </w:rPr>
              <w:t xml:space="preserve">23.277.644</w:t>
            </w:r>
          </w:p>
        </w:tc>
        <w:tc>
          <w:tcPr>
            <w:tcW w:w="1632.96" w:type="dxa"/>
            <w:vAlign w:val="center"/>
          </w:tcPr>
          <w:p>
            <w:pPr>
              <w:jc w:val="both"/>
              <w:pStyle w:val="CellColumn"/>
            </w:pPr>
            <w:r>
              <w:rPr>
                <w:rFonts w:hAnsi="Times New Roman" w:cs="Times New Roman"/>
              </w:rPr>
              <w:t xml:space="preserve">23.567.684</w:t>
            </w:r>
          </w:p>
        </w:tc>
        <w:tc>
          <w:tcPr>
            <w:tcW w:w="510.3" w:type="dxa"/>
            <w:vAlign w:val="center"/>
          </w:tcPr>
          <w:p>
            <w:pPr>
              <w:jc w:val="both"/>
              <w:pStyle w:val="CellColumn"/>
            </w:pPr>
            <w:r>
              <w:rPr>
                <w:rFonts w:hAnsi="Times New Roman" w:cs="Times New Roman"/>
              </w:rPr>
              <w:t xml:space="preserve">105,4</w:t>
            </w:r>
          </w:p>
        </w:tc>
      </w:tr>
    </w:tbl>
    <w:p>
      <w:pPr>
        <w:jc w:val="left"/>
      </w:pPr>
      <w:r>
        <w:rPr>
          <w:rFonts w:hAnsi="Times New Roman" w:cs="Times New Roman"/>
        </w:rPr>
        <w:t xml:space="preserve"/>
      </w:r>
    </w:p>
    <w:p>
      <w:pPr>
        <w:jc w:val="left"/>
        <w:pStyle w:val="Heading4"/>
      </w:pPr>
      <w:r>
        <w:rPr>
          <w:rFonts w:hAnsi="Times New Roman" w:cs="Times New Roman"/>
        </w:rPr>
        <w:t xml:space="preserve">A640000 PROGON POČINITELJA KAZNENIH I KAŽNJIVIH DJELA I ZAŠTITA IMOVINE RH PRED ŽUPANIJSKIM SUDOVIMA I UPRAVNIM TIJELIMA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odvjetništvu, Zakon o Uredu za suzbijanje korupcije i organiziranog kriminaliteta, Zakon o područjima i sjedištima državnih odvjetništava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A640000-PROGON POČINITELJA KAZNENIH I KAŽNJIVIH DJELA I ZAŠTITA IMOVINE RH PRED ŽUPANIJSKIM SUDOVIMA I UPRAVNIM TIJELIMA</w:t>
            </w:r>
          </w:p>
        </w:tc>
        <w:tc>
          <w:tcPr>
            <w:tcW w:w="1632.96" w:type="dxa"/>
            <w:vAlign w:val="center"/>
          </w:tcPr>
          <w:p>
            <w:pPr>
              <w:jc w:val="both"/>
              <w:pStyle w:val="CellColumn"/>
            </w:pPr>
            <w:r>
              <w:rPr>
                <w:rFonts w:hAnsi="Times New Roman" w:cs="Times New Roman"/>
              </w:rPr>
              <w:t xml:space="preserve">17.011.115</w:t>
            </w:r>
          </w:p>
        </w:tc>
        <w:tc>
          <w:tcPr>
            <w:tcW w:w="1632.96" w:type="dxa"/>
            <w:vAlign w:val="center"/>
          </w:tcPr>
          <w:p>
            <w:pPr>
              <w:jc w:val="both"/>
              <w:pStyle w:val="CellColumn"/>
            </w:pPr>
            <w:r>
              <w:rPr>
                <w:rFonts w:hAnsi="Times New Roman" w:cs="Times New Roman"/>
              </w:rPr>
              <w:t xml:space="preserve">22.443.739</w:t>
            </w:r>
          </w:p>
        </w:tc>
        <w:tc>
          <w:tcPr>
            <w:tcW w:w="1632.96" w:type="dxa"/>
            <w:vAlign w:val="center"/>
          </w:tcPr>
          <w:p>
            <w:pPr>
              <w:jc w:val="both"/>
              <w:pStyle w:val="CellColumn"/>
            </w:pPr>
            <w:r>
              <w:rPr>
                <w:rFonts w:hAnsi="Times New Roman" w:cs="Times New Roman"/>
              </w:rPr>
              <w:t xml:space="preserve">23.661.851</w:t>
            </w:r>
          </w:p>
        </w:tc>
        <w:tc>
          <w:tcPr>
            <w:tcW w:w="1632.96" w:type="dxa"/>
            <w:vAlign w:val="center"/>
          </w:tcPr>
          <w:p>
            <w:pPr>
              <w:jc w:val="both"/>
              <w:pStyle w:val="CellColumn"/>
            </w:pPr>
            <w:r>
              <w:rPr>
                <w:rFonts w:hAnsi="Times New Roman" w:cs="Times New Roman"/>
              </w:rPr>
              <w:t xml:space="preserve">23.277.644</w:t>
            </w:r>
          </w:p>
        </w:tc>
        <w:tc>
          <w:tcPr>
            <w:tcW w:w="1632.96" w:type="dxa"/>
            <w:vAlign w:val="center"/>
          </w:tcPr>
          <w:p>
            <w:pPr>
              <w:jc w:val="both"/>
              <w:pStyle w:val="CellColumn"/>
            </w:pPr>
            <w:r>
              <w:rPr>
                <w:rFonts w:hAnsi="Times New Roman" w:cs="Times New Roman"/>
              </w:rPr>
              <w:t xml:space="preserve">23.567.684</w:t>
            </w:r>
          </w:p>
        </w:tc>
        <w:tc>
          <w:tcPr>
            <w:tcW w:w="510.3" w:type="dxa"/>
            <w:vAlign w:val="center"/>
          </w:tcPr>
          <w:p>
            <w:pPr>
              <w:jc w:val="both"/>
              <w:pStyle w:val="CellColumn"/>
            </w:pPr>
            <w:r>
              <w:rPr>
                <w:rFonts w:hAnsi="Times New Roman" w:cs="Times New Roman"/>
              </w:rPr>
              <w:t xml:space="preserve">105,4</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financiranje rashoda za zaposlene i materijalnih rashoda potrebnih za redovan rad županijskih državnih odvjetništava, u kojima je ukupno 500 zaposlenih, od čega 176 pravosudna dužnosnika i 324 službenika i namještenika. Od ukupno planiranog iznosa u 2025. godini na sredstva za plaće i doprinose odnosi se 18.543.363 € (osnovica za obračun plaće pravosudnim dužnosnicima iznosi 787,75 € uvećana za pripadajući koeficijent i minuli rad; osnovica za obračun plaće službenicima i namještenicima iznosi 947,18 € uvećana za pripadajući koeficijent i minuli rad). U izračun za plaće uključena su i sredstva za isplatu staža s povećanim trajanjem zamjenicima koji su radili na poslovima istrage (B staž). Na ostale rashode za zaposlene (prava po Kolektivnom ugovoru) odnosi se 476.310 €, na naknade za prijevoz na posao i s posla 481.698 € , dok se ostatak planiranih sredstava odnosi na materijalne izdatke na kojima se najveći iznosi iskazuju na rashodima za intelektualne usluge u iznosu 2.376.020 € (usluge vještaka, odvjetnika po službenoj dužnosti, prevoditelja), na energiju 259.975 € te na komunalne usluge 283.426 €. Od ukupno planiranog iznosa u 2026. godini na sredstva za plaće i doprinose odnosi se 18.963.723 €, na ostale rashode za zaposlene (prava po Kolektivnom ugovoru) 481.342 €, na naknade za prijevoz na posao i s posla 494.773 €, dok se ostatak sredstava odnosi na materijalne izdatke na kojima se najveći iznosi iskazuju na istim stavkama rashoda kao i u prethodnoj godini. Od ukupno planiranog iznosa u 2027. godini na sredstva za plaće i doprinose odnosi se 19.237.985 €, na ostale rashode za zaposlene (prava po Kolektivnom ugovoru) 492.819€, na naknade za prijevoz na posao i s posla 501.073 €, dok se ostatak sredstava odnosi na materijalne izdatke na kojima se najveći iznosi iskazuju na istim stavkama rashoda kao i u prethodnoj godini. U 2026. i 2027. godini sredstva za zaposlene povećana su za iznos minulog rada.</w:t>
      </w:r>
    </w:p>
    <w:p>
      <w:pPr>
        <w:jc w:val="left"/>
        <w:pStyle w:val="Heading2"/>
      </w:pPr>
      <w:r>
        <w:rPr>
          <w:rFonts w:hAnsi="Times New Roman" w:cs="Times New Roman"/>
        </w:rPr>
        <w:t xml:space="preserve">10980 Općinski sudovi</w:t>
      </w:r>
    </w:p>
    <w:p>
      <w:pPr>
        <w:jc w:val="both"/>
        <w:pStyle w:val="Normal3"/>
      </w:pPr>
      <w:r>
        <w:rPr>
          <w:rFonts w:hAnsi="Times New Roman" w:cs="Times New Roman"/>
        </w:rPr>
        <w:t xml:space="preserve">Prema Zakonu o područjima i sjedištima sudova iz 2018. ustanovljena su 34 općinska suda i to: Bjelovar, Crikvenica, Čakovec, Dubrovnik, Đakovo, Gospić, Karlovac, Koprivnica, Kutina, Makarska, Metković, Osijek, Pazin, Požega, Pula, Rijeka, Sesvete, Sisak, Slavonski Brod, Split, Šibenik, Varaždin, Velika Gorica, Vinkovci, Virovitica, Vukovar, Zadar, Novi Zagreb, Zlatar, Općinski građanski sud u Zagrebu, Općinski kazneni sud u Zagrebu, Općinski radni sud u Zagrebu, Općinski prekršajni sud u Zagrebu i Općinski prekršajni sud u Splitu. Općinski sudovi rješavaju parnične, izvanparnične i ovršne predmete, rješavaju ostavinske predmete, zemljišnoknjižne predmete i vode zemljišne knjige, rješavaju kaznene predmete, osim onih za koje je zakonom propisana stvarana nadležnost drugog suda, rješavaju prekršajne predmete, osim onih za koje je zakonom propisana stvarna nadležnost drugog tijela, odlučuju o priznanju i ovrsi stranih sudskih odluka i odluka drugih tijela koje su u državi u kojoj su donesene izjednačene sa sudskim odlukama, obavljaju poslove međunarodne pravne pomoći u postupcima iz svoje nadležnosti, obavljaju poslove pravosudne suradnje s državama članicama Europske unije u postupcima iz svoje nadležnosti, obavljaju i druge poslove određene zakonom</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10980-Općinski sudovi</w:t>
            </w:r>
          </w:p>
        </w:tc>
        <w:tc>
          <w:tcPr>
            <w:tcW w:w="1632.96" w:type="dxa"/>
            <w:vAlign w:val="center"/>
          </w:tcPr>
          <w:p>
            <w:pPr>
              <w:jc w:val="both"/>
              <w:pStyle w:val="CellColumn"/>
            </w:pPr>
            <w:r>
              <w:rPr>
                <w:rFonts w:hAnsi="Times New Roman" w:cs="Times New Roman"/>
              </w:rPr>
              <w:t xml:space="preserve">147.674.223</w:t>
            </w:r>
          </w:p>
        </w:tc>
        <w:tc>
          <w:tcPr>
            <w:tcW w:w="1632.96" w:type="dxa"/>
            <w:vAlign w:val="center"/>
          </w:tcPr>
          <w:p>
            <w:pPr>
              <w:jc w:val="both"/>
              <w:pStyle w:val="CellColumn"/>
            </w:pPr>
            <w:r>
              <w:rPr>
                <w:rFonts w:hAnsi="Times New Roman" w:cs="Times New Roman"/>
              </w:rPr>
              <w:t xml:space="preserve">193.055.612</w:t>
            </w:r>
          </w:p>
        </w:tc>
        <w:tc>
          <w:tcPr>
            <w:tcW w:w="1632.96" w:type="dxa"/>
            <w:vAlign w:val="center"/>
          </w:tcPr>
          <w:p>
            <w:pPr>
              <w:jc w:val="both"/>
              <w:pStyle w:val="CellColumn"/>
            </w:pPr>
            <w:r>
              <w:rPr>
                <w:rFonts w:hAnsi="Times New Roman" w:cs="Times New Roman"/>
              </w:rPr>
              <w:t xml:space="preserve">188.977.040</w:t>
            </w:r>
          </w:p>
        </w:tc>
        <w:tc>
          <w:tcPr>
            <w:tcW w:w="1632.96" w:type="dxa"/>
            <w:vAlign w:val="center"/>
          </w:tcPr>
          <w:p>
            <w:pPr>
              <w:jc w:val="both"/>
              <w:pStyle w:val="CellColumn"/>
            </w:pPr>
            <w:r>
              <w:rPr>
                <w:rFonts w:hAnsi="Times New Roman" w:cs="Times New Roman"/>
              </w:rPr>
              <w:t xml:space="preserve">193.584.916</w:t>
            </w:r>
          </w:p>
        </w:tc>
        <w:tc>
          <w:tcPr>
            <w:tcW w:w="1632.96" w:type="dxa"/>
            <w:vAlign w:val="center"/>
          </w:tcPr>
          <w:p>
            <w:pPr>
              <w:jc w:val="both"/>
              <w:pStyle w:val="CellColumn"/>
            </w:pPr>
            <w:r>
              <w:rPr>
                <w:rFonts w:hAnsi="Times New Roman" w:cs="Times New Roman"/>
              </w:rPr>
              <w:t xml:space="preserve">193.544.869</w:t>
            </w:r>
          </w:p>
        </w:tc>
        <w:tc>
          <w:tcPr>
            <w:tcW w:w="510.3" w:type="dxa"/>
            <w:vAlign w:val="center"/>
          </w:tcPr>
          <w:p>
            <w:pPr>
              <w:jc w:val="both"/>
              <w:pStyle w:val="CellColumn"/>
            </w:pPr>
            <w:r>
              <w:rPr>
                <w:rFonts w:hAnsi="Times New Roman" w:cs="Times New Roman"/>
              </w:rPr>
              <w:t xml:space="preserve">97,9</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147.674.223</w:t>
            </w:r>
          </w:p>
        </w:tc>
        <w:tc>
          <w:tcPr>
            <w:tcW w:w="1632.96" w:type="dxa"/>
            <w:vAlign w:val="center"/>
          </w:tcPr>
          <w:p>
            <w:pPr>
              <w:jc w:val="both"/>
              <w:pStyle w:val="CellColumn"/>
            </w:pPr>
            <w:r>
              <w:rPr>
                <w:rFonts w:hAnsi="Times New Roman" w:cs="Times New Roman"/>
              </w:rPr>
              <w:t xml:space="preserve">193.055.612</w:t>
            </w:r>
          </w:p>
        </w:tc>
        <w:tc>
          <w:tcPr>
            <w:tcW w:w="1632.96" w:type="dxa"/>
            <w:vAlign w:val="center"/>
          </w:tcPr>
          <w:p>
            <w:pPr>
              <w:jc w:val="both"/>
              <w:pStyle w:val="CellColumn"/>
            </w:pPr>
            <w:r>
              <w:rPr>
                <w:rFonts w:hAnsi="Times New Roman" w:cs="Times New Roman"/>
              </w:rPr>
              <w:t xml:space="preserve">188.977.040</w:t>
            </w:r>
          </w:p>
        </w:tc>
        <w:tc>
          <w:tcPr>
            <w:tcW w:w="1632.96" w:type="dxa"/>
            <w:vAlign w:val="center"/>
          </w:tcPr>
          <w:p>
            <w:pPr>
              <w:jc w:val="both"/>
              <w:pStyle w:val="CellColumn"/>
            </w:pPr>
            <w:r>
              <w:rPr>
                <w:rFonts w:hAnsi="Times New Roman" w:cs="Times New Roman"/>
              </w:rPr>
              <w:t xml:space="preserve">193.584.916</w:t>
            </w:r>
          </w:p>
        </w:tc>
        <w:tc>
          <w:tcPr>
            <w:tcW w:w="1632.96" w:type="dxa"/>
            <w:vAlign w:val="center"/>
          </w:tcPr>
          <w:p>
            <w:pPr>
              <w:jc w:val="both"/>
              <w:pStyle w:val="CellColumn"/>
            </w:pPr>
            <w:r>
              <w:rPr>
                <w:rFonts w:hAnsi="Times New Roman" w:cs="Times New Roman"/>
              </w:rPr>
              <w:t xml:space="preserve">193.544.869</w:t>
            </w:r>
          </w:p>
        </w:tc>
        <w:tc>
          <w:tcPr>
            <w:tcW w:w="510.3" w:type="dxa"/>
            <w:vAlign w:val="center"/>
          </w:tcPr>
          <w:p>
            <w:pPr>
              <w:jc w:val="both"/>
              <w:pStyle w:val="CellColumn"/>
            </w:pPr>
            <w:r>
              <w:rPr>
                <w:rFonts w:hAnsi="Times New Roman" w:cs="Times New Roman"/>
              </w:rPr>
              <w:t xml:space="preserve">97,9</w:t>
            </w:r>
          </w:p>
        </w:tc>
      </w:tr>
    </w:tbl>
    <w:p>
      <w:pPr>
        <w:jc w:val="left"/>
      </w:pPr>
      <w:r>
        <w:rPr>
          <w:rFonts w:hAnsi="Times New Roman" w:cs="Times New Roman"/>
        </w:rPr>
        <w:t xml:space="preserve"/>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Udio riješenih u broju primljenih predmeta</w:t>
            </w:r>
          </w:p>
        </w:tc>
        <w:tc>
          <w:tcPr>
            <w:tcW w:w="2245.32" w:type="dxa"/>
            <w:vAlign w:val="center"/>
          </w:tcPr>
          <w:p>
            <w:pPr>
              <w:jc w:val="both"/>
              <w:pStyle w:val="CellColumn"/>
            </w:pPr>
            <w:r>
              <w:rPr>
                <w:rFonts w:hAnsi="Times New Roman" w:cs="Times New Roman"/>
              </w:rPr>
              <w:t xml:space="preserve">Udio riješenih predmeta u odnosu na broj primljenih predmeta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110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106</w:t>
            </w:r>
          </w:p>
        </w:tc>
        <w:tc>
          <w:tcPr>
            <w:tcW w:w="918.54" w:type="dxa"/>
            <w:vAlign w:val="center"/>
          </w:tcPr>
          <w:p>
            <w:pPr>
              <w:jc w:val="both"/>
              <w:pStyle w:val="CellColumn"/>
            </w:pPr>
            <w:r>
              <w:rPr>
                <w:rFonts w:hAnsi="Times New Roman" w:cs="Times New Roman"/>
              </w:rPr>
              <w:t xml:space="preserve">108</w:t>
            </w:r>
          </w:p>
        </w:tc>
        <w:tc>
          <w:tcPr>
            <w:tcW w:w="918.54" w:type="dxa"/>
            <w:vAlign w:val="center"/>
          </w:tcPr>
          <w:p>
            <w:pPr>
              <w:jc w:val="both"/>
              <w:pStyle w:val="CellColumn"/>
            </w:pPr>
            <w:r>
              <w:rPr>
                <w:rFonts w:hAnsi="Times New Roman" w:cs="Times New Roman"/>
              </w:rPr>
              <w:t xml:space="preserve">110</w:t>
            </w:r>
          </w:p>
        </w:tc>
      </w:tr>
    </w:tbl>
    <w:p>
      <w:pPr>
        <w:jc w:val="left"/>
      </w:pPr>
      <w:r>
        <w:rPr>
          <w:rFonts w:hAnsi="Times New Roman" w:cs="Times New Roman"/>
        </w:rPr>
        <w:t xml:space="preserve"/>
      </w:r>
    </w:p>
    <w:p>
      <w:pPr>
        <w:jc w:val="left"/>
        <w:pStyle w:val="Heading4"/>
      </w:pPr>
      <w:r>
        <w:rPr>
          <w:rFonts w:hAnsi="Times New Roman" w:cs="Times New Roman"/>
        </w:rPr>
        <w:t xml:space="preserve">A641000 VOĐENJE SUDSKIH POSTUPAKA IZ NADLEŽNOSTI OPĆINSKIH SUDOVA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sudovima, Zakon o područjima i sjedištima sudova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A641000-VOĐENJE SUDSKIH POSTUPAKA IZ NADLEŽNOSTI OPĆINSKIH SUDOVA</w:t>
            </w:r>
          </w:p>
        </w:tc>
        <w:tc>
          <w:tcPr>
            <w:tcW w:w="1632.96" w:type="dxa"/>
            <w:vAlign w:val="center"/>
          </w:tcPr>
          <w:p>
            <w:pPr>
              <w:jc w:val="both"/>
              <w:pStyle w:val="CellColumn"/>
            </w:pPr>
            <w:r>
              <w:rPr>
                <w:rFonts w:hAnsi="Times New Roman" w:cs="Times New Roman"/>
              </w:rPr>
              <w:t xml:space="preserve">147.487.749</w:t>
            </w:r>
          </w:p>
        </w:tc>
        <w:tc>
          <w:tcPr>
            <w:tcW w:w="1632.96" w:type="dxa"/>
            <w:vAlign w:val="center"/>
          </w:tcPr>
          <w:p>
            <w:pPr>
              <w:jc w:val="both"/>
              <w:pStyle w:val="CellColumn"/>
            </w:pPr>
            <w:r>
              <w:rPr>
                <w:rFonts w:hAnsi="Times New Roman" w:cs="Times New Roman"/>
              </w:rPr>
              <w:t xml:space="preserve">192.851.208</w:t>
            </w:r>
          </w:p>
        </w:tc>
        <w:tc>
          <w:tcPr>
            <w:tcW w:w="1632.96" w:type="dxa"/>
            <w:vAlign w:val="center"/>
          </w:tcPr>
          <w:p>
            <w:pPr>
              <w:jc w:val="both"/>
              <w:pStyle w:val="CellColumn"/>
            </w:pPr>
            <w:r>
              <w:rPr>
                <w:rFonts w:hAnsi="Times New Roman" w:cs="Times New Roman"/>
              </w:rPr>
              <w:t xml:space="preserve">188.246.223</w:t>
            </w:r>
          </w:p>
        </w:tc>
        <w:tc>
          <w:tcPr>
            <w:tcW w:w="1632.96" w:type="dxa"/>
            <w:vAlign w:val="center"/>
          </w:tcPr>
          <w:p>
            <w:pPr>
              <w:jc w:val="both"/>
              <w:pStyle w:val="CellColumn"/>
            </w:pPr>
            <w:r>
              <w:rPr>
                <w:rFonts w:hAnsi="Times New Roman" w:cs="Times New Roman"/>
              </w:rPr>
              <w:t xml:space="preserve">193.239.219</w:t>
            </w:r>
          </w:p>
        </w:tc>
        <w:tc>
          <w:tcPr>
            <w:tcW w:w="1632.96" w:type="dxa"/>
            <w:vAlign w:val="center"/>
          </w:tcPr>
          <w:p>
            <w:pPr>
              <w:jc w:val="both"/>
              <w:pStyle w:val="CellColumn"/>
            </w:pPr>
            <w:r>
              <w:rPr>
                <w:rFonts w:hAnsi="Times New Roman" w:cs="Times New Roman"/>
              </w:rPr>
              <w:t xml:space="preserve">193.200.122</w:t>
            </w:r>
          </w:p>
        </w:tc>
        <w:tc>
          <w:tcPr>
            <w:tcW w:w="510.3" w:type="dxa"/>
            <w:vAlign w:val="center"/>
          </w:tcPr>
          <w:p>
            <w:pPr>
              <w:jc w:val="both"/>
              <w:pStyle w:val="CellColumn"/>
            </w:pPr>
            <w:r>
              <w:rPr>
                <w:rFonts w:hAnsi="Times New Roman" w:cs="Times New Roman"/>
              </w:rPr>
              <w:t xml:space="preserve">97,6</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općinskih sudova, u kojima je ukupno 5649 zaposlenih, od čega 1009 pravosudnih dužnosnika i 4640 službenika i namještenika. Od ukupno planiranog iznosa u 2025. godini na sredstva za plaće i doprinose odnosi se 139.262.890€ (osnovica za obračun plaće pravosudnim dužnosnicima iznosi 787,85 € uvećana za pripadajući koeficijent i minuli rad, osnovica za obračun plaće službenicima i namještenicima iznosi 947,18€ uvećana za pripadajući koeficijent i minuli rad). Na ostale rashode za zaposlene (prava po Kolektivnom ugovoru) odnosi se 5.500.376 €, na naknade za prijevoz na posao i s posla 4.402.827 €, dok se ostatak sredstava odnosi na materijalne izdatke, s najvećim udjelom rashoda za intelektualne i osobne usluge u iznosu 15.066.985 € (usluge odvjetnika po službenoj dužnosti, usluge vještaka, prevoditelja i tumača u sudskim postupcima), rashoda za usluge pošte i telefona u iznosu 10.275.680 €, rashoda za energiju u iznosu 2.881.320 €, rashoda za uredski materijal u iznosu 2.499.748 €, rashode za nabavu uredske opreme i namještaja, komunikacijske opreme i opreme za održavanje i zaštitu u iznosu od  290.891 €, nabavu vozila putem financijskog leasinga u iznosu od 256.887 € te na rahode za dodatna ulaganja na građevinskim objektima u iznosu 2.114.393 €, zbog potrebe sanacije i uređenja zgrada pravosudnih tijela. Od ukupno planiranog iznosa u 2026. godini na sredstva za plaće i doprinose odnosi se 143.759.572 €, na ostale rashode za zaposlene (prava po Kolektivnom ugovoru) 5.596.687 €, na naknade za prijevoz na posao i s posla 4.504.712 €, dok se ostatak sredstava odnosi na materijalne izdatke u kojima se najveći iznosi iskazuju na istim stavkama rashoda kao i u prethodnoj godini. Od ukupno planiranog iznosa u 2027. godini na sredstva za plaće i doprinose odnosi se 144.498.850 €, na ostale rashode za zaposlene (prava po Kolektivnom ugovoru) 5.714.443 €, na naknade za prijevoz na posao i s posla 4.517.139 €, dok se ostatak planiranih  sredstava odnosi na materijalne izdatke u kojima se najveći iznosi iskazuju na istim stavkama rashoda kao i u prethodnoj godini. U 2026. i 2027. godini sredstva za zaposlene uvećana su za iznos minulog rada.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Smanjenje broja neriješenih predmeta</w:t>
            </w:r>
          </w:p>
        </w:tc>
        <w:tc>
          <w:tcPr>
            <w:tcW w:w="2245.32" w:type="dxa"/>
            <w:vAlign w:val="center"/>
          </w:tcPr>
          <w:p>
            <w:pPr>
              <w:jc w:val="both"/>
              <w:pStyle w:val="CellColumn"/>
            </w:pPr>
            <w:r>
              <w:rPr>
                <w:rFonts w:hAnsi="Times New Roman" w:cs="Times New Roman"/>
              </w:rPr>
              <w:t xml:space="preserve">Smanjenje broja neriješenih predmeta u odnosu na broj neriješenih predmeta na kraju prethodne godine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315.000</w:t>
            </w:r>
          </w:p>
        </w:tc>
        <w:tc>
          <w:tcPr>
            <w:tcW w:w="918.54" w:type="dxa"/>
            <w:vAlign w:val="center"/>
          </w:tcPr>
          <w:p>
            <w:pPr>
              <w:jc w:val="both"/>
              <w:pStyle w:val="CellColumn"/>
            </w:pPr>
            <w:r>
              <w:rPr>
                <w:rFonts w:hAnsi="Times New Roman" w:cs="Times New Roman"/>
              </w:rPr>
              <w:t xml:space="preserve">MPUDT</w:t>
            </w:r>
          </w:p>
        </w:tc>
        <w:tc>
          <w:tcPr>
            <w:tcW w:w="918.54" w:type="dxa"/>
            <w:vAlign w:val="center"/>
          </w:tcPr>
          <w:p>
            <w:pPr>
              <w:jc w:val="both"/>
              <w:pStyle w:val="CellColumn"/>
            </w:pPr>
            <w:r>
              <w:rPr>
                <w:rFonts w:hAnsi="Times New Roman" w:cs="Times New Roman"/>
              </w:rPr>
              <w:t xml:space="preserve">315.000</w:t>
            </w:r>
          </w:p>
        </w:tc>
        <w:tc>
          <w:tcPr>
            <w:tcW w:w="918.54" w:type="dxa"/>
            <w:vAlign w:val="center"/>
          </w:tcPr>
          <w:p>
            <w:pPr>
              <w:jc w:val="both"/>
              <w:pStyle w:val="CellColumn"/>
            </w:pPr>
            <w:r>
              <w:rPr>
                <w:rFonts w:hAnsi="Times New Roman" w:cs="Times New Roman"/>
              </w:rPr>
              <w:t xml:space="preserve">300.000</w:t>
            </w:r>
          </w:p>
        </w:tc>
        <w:tc>
          <w:tcPr>
            <w:tcW w:w="918.54" w:type="dxa"/>
            <w:vAlign w:val="center"/>
          </w:tcPr>
          <w:p>
            <w:pPr>
              <w:jc w:val="both"/>
              <w:pStyle w:val="CellColumn"/>
            </w:pPr>
            <w:r>
              <w:rPr>
                <w:rFonts w:hAnsi="Times New Roman" w:cs="Times New Roman"/>
              </w:rPr>
              <w:t xml:space="preserve">300.000</w:t>
            </w:r>
          </w:p>
        </w:tc>
      </w:tr>
    </w:tbl>
    <w:p>
      <w:pPr>
        <w:jc w:val="left"/>
      </w:pPr>
      <w:r>
        <w:rPr>
          <w:rFonts w:hAnsi="Times New Roman" w:cs="Times New Roman"/>
        </w:rPr>
        <w:t xml:space="preserve"/>
      </w:r>
    </w:p>
    <w:p>
      <w:pPr>
        <w:jc w:val="left"/>
        <w:pStyle w:val="Heading4"/>
      </w:pPr>
      <w:r>
        <w:rPr>
          <w:rFonts w:hAnsi="Times New Roman" w:cs="Times New Roman"/>
        </w:rPr>
        <w:t xml:space="preserve">A641001 JEDNOSTAVNI STEČAJ POTROŠAČA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izmjenama i dopunama Zakona o stečaju potrošača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A641001-JEDNOSTAVNI STEČAJ POTROŠAČA</w:t>
            </w:r>
          </w:p>
        </w:tc>
        <w:tc>
          <w:tcPr>
            <w:tcW w:w="1632.96" w:type="dxa"/>
            <w:vAlign w:val="center"/>
          </w:tcPr>
          <w:p>
            <w:pPr>
              <w:jc w:val="both"/>
              <w:pStyle w:val="CellColumn"/>
            </w:pPr>
            <w:r>
              <w:rPr>
                <w:rFonts w:hAnsi="Times New Roman" w:cs="Times New Roman"/>
              </w:rPr>
              <w:t xml:space="preserve">186.474</w:t>
            </w:r>
          </w:p>
        </w:tc>
        <w:tc>
          <w:tcPr>
            <w:tcW w:w="1632.96" w:type="dxa"/>
            <w:vAlign w:val="center"/>
          </w:tcPr>
          <w:p>
            <w:pPr>
              <w:jc w:val="both"/>
              <w:pStyle w:val="CellColumn"/>
            </w:pPr>
            <w:r>
              <w:rPr>
                <w:rFonts w:hAnsi="Times New Roman" w:cs="Times New Roman"/>
              </w:rPr>
              <w:t xml:space="preserve">204.404</w:t>
            </w:r>
          </w:p>
        </w:tc>
        <w:tc>
          <w:tcPr>
            <w:tcW w:w="1632.96" w:type="dxa"/>
            <w:vAlign w:val="center"/>
          </w:tcPr>
          <w:p>
            <w:pPr>
              <w:jc w:val="both"/>
              <w:pStyle w:val="CellColumn"/>
            </w:pPr>
            <w:r>
              <w:rPr>
                <w:rFonts w:hAnsi="Times New Roman" w:cs="Times New Roman"/>
              </w:rPr>
              <w:t xml:space="preserve">730.817</w:t>
            </w:r>
          </w:p>
        </w:tc>
        <w:tc>
          <w:tcPr>
            <w:tcW w:w="1632.96" w:type="dxa"/>
            <w:vAlign w:val="center"/>
          </w:tcPr>
          <w:p>
            <w:pPr>
              <w:jc w:val="both"/>
              <w:pStyle w:val="CellColumn"/>
            </w:pPr>
            <w:r>
              <w:rPr>
                <w:rFonts w:hAnsi="Times New Roman" w:cs="Times New Roman"/>
              </w:rPr>
              <w:t xml:space="preserve">345.697</w:t>
            </w:r>
          </w:p>
        </w:tc>
        <w:tc>
          <w:tcPr>
            <w:tcW w:w="1632.96" w:type="dxa"/>
            <w:vAlign w:val="center"/>
          </w:tcPr>
          <w:p>
            <w:pPr>
              <w:jc w:val="both"/>
              <w:pStyle w:val="CellColumn"/>
            </w:pPr>
            <w:r>
              <w:rPr>
                <w:rFonts w:hAnsi="Times New Roman" w:cs="Times New Roman"/>
              </w:rPr>
              <w:t xml:space="preserve">344.747</w:t>
            </w:r>
          </w:p>
        </w:tc>
        <w:tc>
          <w:tcPr>
            <w:tcW w:w="510.3" w:type="dxa"/>
            <w:vAlign w:val="center"/>
          </w:tcPr>
          <w:p>
            <w:pPr>
              <w:jc w:val="both"/>
              <w:pStyle w:val="CellColumn"/>
            </w:pPr>
            <w:r>
              <w:rPr>
                <w:rFonts w:hAnsi="Times New Roman" w:cs="Times New Roman"/>
              </w:rPr>
              <w:t xml:space="preserve">357,5</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za provedbu jednostavnog postupka stečaja potrošača, a odnose se na podmirenje troškova odvjetnika koji je imenovan kao povjerenik i ima pravo na nagradu i naknadu troškova, a kriterije i način plaćanja propisuje Vlada uredbom. Sredstva su planirana i za podmirenje materijalnih rashoda suda, kao što su troškovi poštarine prilikom dostave rješenja strankama u postupku i troškovi intelektualnih usluga za dodatna vještačenja. Otvaranjem jednostavnog postupka stečaja potrošača omogućuje se namirenje tražbina vjerovnika iz imovine koja je za to podobna te oslobađanje potrošača od preostalog duga. Sredstva su planirana temeljem članka 21. Zakona o stečaju potrošača te prema sklopljenim ugovorima o elektronskom zaprimanju dokumenata, ispisa i kuvertiranja sudskih pismena za primatelje tih pismena. Najveći udio u planiranim sredstvima odnosi se na poštanske usluge u iznosu 679.809 € za 2025., 294.789 € za 2026. i 293.839 € za 2027.</w:t>
      </w:r>
    </w:p>
    <w:p>
      <w:pPr>
        <w:jc w:val="left"/>
        <w:pStyle w:val="Heading2"/>
      </w:pPr>
      <w:r>
        <w:rPr>
          <w:rFonts w:hAnsi="Times New Roman" w:cs="Times New Roman"/>
        </w:rPr>
        <w:t xml:space="preserve">10985 Općinska državna odvjetništva</w:t>
      </w:r>
    </w:p>
    <w:p>
      <w:pPr>
        <w:jc w:val="both"/>
        <w:pStyle w:val="Normal3"/>
      </w:pPr>
      <w:r>
        <w:rPr>
          <w:rFonts w:hAnsi="Times New Roman" w:cs="Times New Roman"/>
        </w:rPr>
        <w:t xml:space="preserve">Zakonom o državnom odvjetništvu iz 2018. te Zakonom o područjima i sjedištima državnih odvjetništava iz 2022. ustanovljeno je 26 općinskih državnih odvjetništava i to: Bjelovar, Virovitica, Dubrovnik, Metković, Karlovac, Gospić, Osijek, Pula, Pazin, Rijeka, Sisak, Slavonski Brod, Požega, Split, Šibenik, Varaždin, Čakovec, Koprivnica, Novi Zagreb, Velika Gorica, Vukovar, Vinkovci, Zadar, Zlatar te Kazneno i Građansko odvjetništvo u Zagrebu. Općinska državna odvjetništva su samostalna i neovisna pravosudna tijela ovlaštena i dužna postupati protiv počinitelja kaznenih djela i drugih kažnjivih djela, poduzimati pravne radnje radi zaštite imovine Republike Hrvatske te podnositi pravna sredstva za zaštitu Ustava RH i Zakona.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10985-Općinska državna odvjetništva</w:t>
            </w:r>
          </w:p>
        </w:tc>
        <w:tc>
          <w:tcPr>
            <w:tcW w:w="1632.96" w:type="dxa"/>
            <w:vAlign w:val="center"/>
          </w:tcPr>
          <w:p>
            <w:pPr>
              <w:jc w:val="both"/>
              <w:pStyle w:val="CellColumn"/>
            </w:pPr>
            <w:r>
              <w:rPr>
                <w:rFonts w:hAnsi="Times New Roman" w:cs="Times New Roman"/>
              </w:rPr>
              <w:t xml:space="preserve">36.450.916</w:t>
            </w:r>
          </w:p>
        </w:tc>
        <w:tc>
          <w:tcPr>
            <w:tcW w:w="1632.96" w:type="dxa"/>
            <w:vAlign w:val="center"/>
          </w:tcPr>
          <w:p>
            <w:pPr>
              <w:jc w:val="both"/>
              <w:pStyle w:val="CellColumn"/>
            </w:pPr>
            <w:r>
              <w:rPr>
                <w:rFonts w:hAnsi="Times New Roman" w:cs="Times New Roman"/>
              </w:rPr>
              <w:t xml:space="preserve">48.903.552</w:t>
            </w:r>
          </w:p>
        </w:tc>
        <w:tc>
          <w:tcPr>
            <w:tcW w:w="1632.96" w:type="dxa"/>
            <w:vAlign w:val="center"/>
          </w:tcPr>
          <w:p>
            <w:pPr>
              <w:jc w:val="both"/>
              <w:pStyle w:val="CellColumn"/>
            </w:pPr>
            <w:r>
              <w:rPr>
                <w:rFonts w:hAnsi="Times New Roman" w:cs="Times New Roman"/>
              </w:rPr>
              <w:t xml:space="preserve">50.792.033</w:t>
            </w:r>
          </w:p>
        </w:tc>
        <w:tc>
          <w:tcPr>
            <w:tcW w:w="1632.96" w:type="dxa"/>
            <w:vAlign w:val="center"/>
          </w:tcPr>
          <w:p>
            <w:pPr>
              <w:jc w:val="both"/>
              <w:pStyle w:val="CellColumn"/>
            </w:pPr>
            <w:r>
              <w:rPr>
                <w:rFonts w:hAnsi="Times New Roman" w:cs="Times New Roman"/>
              </w:rPr>
              <w:t xml:space="preserve">52.173.062</w:t>
            </w:r>
          </w:p>
        </w:tc>
        <w:tc>
          <w:tcPr>
            <w:tcW w:w="1632.96" w:type="dxa"/>
            <w:vAlign w:val="center"/>
          </w:tcPr>
          <w:p>
            <w:pPr>
              <w:jc w:val="both"/>
              <w:pStyle w:val="CellColumn"/>
            </w:pPr>
            <w:r>
              <w:rPr>
                <w:rFonts w:hAnsi="Times New Roman" w:cs="Times New Roman"/>
              </w:rPr>
              <w:t xml:space="preserve">52.455.109</w:t>
            </w:r>
          </w:p>
        </w:tc>
        <w:tc>
          <w:tcPr>
            <w:tcW w:w="510.3" w:type="dxa"/>
            <w:vAlign w:val="center"/>
          </w:tcPr>
          <w:p>
            <w:pPr>
              <w:jc w:val="both"/>
              <w:pStyle w:val="CellColumn"/>
            </w:pPr>
            <w:r>
              <w:rPr>
                <w:rFonts w:hAnsi="Times New Roman" w:cs="Times New Roman"/>
              </w:rPr>
              <w:t xml:space="preserve">103,9</w:t>
            </w:r>
          </w:p>
        </w:tc>
      </w:tr>
    </w:tbl>
    <w:p>
      <w:pPr>
        <w:jc w:val="left"/>
      </w:pPr>
      <w:r>
        <w:rPr>
          <w:rFonts w:hAnsi="Times New Roman" w:cs="Times New Roman"/>
        </w:rPr>
        <w:t xml:space="preserve"/>
      </w:r>
    </w:p>
    <w:p>
      <w:pPr>
        <w:jc w:val="left"/>
        <w:pStyle w:val="Heading3"/>
      </w:pPr>
      <w:r>
        <w:rPr>
          <w:rFonts w:hAnsi="Times New Roman" w:cs="Times New Roman"/>
        </w:rPr>
        <w:t xml:space="preserve">2812 DJELOVANJE DRŽAVNIH ODVJETNIŠTAVA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2812-DJELOVANJE DRŽAVNIH ODVJETNIŠTAVA</w:t>
            </w:r>
          </w:p>
        </w:tc>
        <w:tc>
          <w:tcPr>
            <w:tcW w:w="1632.96" w:type="dxa"/>
            <w:vAlign w:val="center"/>
          </w:tcPr>
          <w:p>
            <w:pPr>
              <w:jc w:val="both"/>
              <w:pStyle w:val="CellColumn"/>
            </w:pPr>
            <w:r>
              <w:rPr>
                <w:rFonts w:hAnsi="Times New Roman" w:cs="Times New Roman"/>
              </w:rPr>
              <w:t xml:space="preserve">36.450.916</w:t>
            </w:r>
          </w:p>
        </w:tc>
        <w:tc>
          <w:tcPr>
            <w:tcW w:w="1632.96" w:type="dxa"/>
            <w:vAlign w:val="center"/>
          </w:tcPr>
          <w:p>
            <w:pPr>
              <w:jc w:val="both"/>
              <w:pStyle w:val="CellColumn"/>
            </w:pPr>
            <w:r>
              <w:rPr>
                <w:rFonts w:hAnsi="Times New Roman" w:cs="Times New Roman"/>
              </w:rPr>
              <w:t xml:space="preserve">48.903.552</w:t>
            </w:r>
          </w:p>
        </w:tc>
        <w:tc>
          <w:tcPr>
            <w:tcW w:w="1632.96" w:type="dxa"/>
            <w:vAlign w:val="center"/>
          </w:tcPr>
          <w:p>
            <w:pPr>
              <w:jc w:val="both"/>
              <w:pStyle w:val="CellColumn"/>
            </w:pPr>
            <w:r>
              <w:rPr>
                <w:rFonts w:hAnsi="Times New Roman" w:cs="Times New Roman"/>
              </w:rPr>
              <w:t xml:space="preserve">50.792.033</w:t>
            </w:r>
          </w:p>
        </w:tc>
        <w:tc>
          <w:tcPr>
            <w:tcW w:w="1632.96" w:type="dxa"/>
            <w:vAlign w:val="center"/>
          </w:tcPr>
          <w:p>
            <w:pPr>
              <w:jc w:val="both"/>
              <w:pStyle w:val="CellColumn"/>
            </w:pPr>
            <w:r>
              <w:rPr>
                <w:rFonts w:hAnsi="Times New Roman" w:cs="Times New Roman"/>
              </w:rPr>
              <w:t xml:space="preserve">52.173.062</w:t>
            </w:r>
          </w:p>
        </w:tc>
        <w:tc>
          <w:tcPr>
            <w:tcW w:w="1632.96" w:type="dxa"/>
            <w:vAlign w:val="center"/>
          </w:tcPr>
          <w:p>
            <w:pPr>
              <w:jc w:val="both"/>
              <w:pStyle w:val="CellColumn"/>
            </w:pPr>
            <w:r>
              <w:rPr>
                <w:rFonts w:hAnsi="Times New Roman" w:cs="Times New Roman"/>
              </w:rPr>
              <w:t xml:space="preserve">52.455.109</w:t>
            </w:r>
          </w:p>
        </w:tc>
        <w:tc>
          <w:tcPr>
            <w:tcW w:w="510.3" w:type="dxa"/>
            <w:vAlign w:val="center"/>
          </w:tcPr>
          <w:p>
            <w:pPr>
              <w:jc w:val="both"/>
              <w:pStyle w:val="CellColumn"/>
            </w:pPr>
            <w:r>
              <w:rPr>
                <w:rFonts w:hAnsi="Times New Roman" w:cs="Times New Roman"/>
              </w:rPr>
              <w:t xml:space="preserve">103,9</w:t>
            </w:r>
          </w:p>
        </w:tc>
      </w:tr>
    </w:tbl>
    <w:p>
      <w:pPr>
        <w:jc w:val="left"/>
      </w:pPr>
      <w:r>
        <w:rPr>
          <w:rFonts w:hAnsi="Times New Roman" w:cs="Times New Roman"/>
        </w:rPr>
        <w:t xml:space="preserve"/>
      </w:r>
    </w:p>
    <w:p>
      <w:pPr>
        <w:jc w:val="left"/>
        <w:pStyle w:val="Heading4"/>
      </w:pPr>
      <w:r>
        <w:rPr>
          <w:rFonts w:hAnsi="Times New Roman" w:cs="Times New Roman"/>
        </w:rPr>
        <w:t xml:space="preserve">A642000 PROGON POČINITELJA KAZNENIH I KAŽNJIVIH DJELA I ZAŠTITA IMOVINE RH PRED NADLEŽNIM SUDOVIMA I TIJELIMA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državnom odvjetništvu, Zakon o područjima i sjedištima državnih odvjetništava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A642000-PROGON POČINITELJA KAZNENIH I KAŽNJIVIH DJELA I ZAŠTITA IMOVINE RH PRED NADLEŽNIM SUDOVIMA I TIJELIMA</w:t>
            </w:r>
          </w:p>
        </w:tc>
        <w:tc>
          <w:tcPr>
            <w:tcW w:w="1632.96" w:type="dxa"/>
            <w:vAlign w:val="center"/>
          </w:tcPr>
          <w:p>
            <w:pPr>
              <w:jc w:val="both"/>
              <w:pStyle w:val="CellColumn"/>
            </w:pPr>
            <w:r>
              <w:rPr>
                <w:rFonts w:hAnsi="Times New Roman" w:cs="Times New Roman"/>
              </w:rPr>
              <w:t xml:space="preserve">36.450.916</w:t>
            </w:r>
          </w:p>
        </w:tc>
        <w:tc>
          <w:tcPr>
            <w:tcW w:w="1632.96" w:type="dxa"/>
            <w:vAlign w:val="center"/>
          </w:tcPr>
          <w:p>
            <w:pPr>
              <w:jc w:val="both"/>
              <w:pStyle w:val="CellColumn"/>
            </w:pPr>
            <w:r>
              <w:rPr>
                <w:rFonts w:hAnsi="Times New Roman" w:cs="Times New Roman"/>
              </w:rPr>
              <w:t xml:space="preserve">48.903.552</w:t>
            </w:r>
          </w:p>
        </w:tc>
        <w:tc>
          <w:tcPr>
            <w:tcW w:w="1632.96" w:type="dxa"/>
            <w:vAlign w:val="center"/>
          </w:tcPr>
          <w:p>
            <w:pPr>
              <w:jc w:val="both"/>
              <w:pStyle w:val="CellColumn"/>
            </w:pPr>
            <w:r>
              <w:rPr>
                <w:rFonts w:hAnsi="Times New Roman" w:cs="Times New Roman"/>
              </w:rPr>
              <w:t xml:space="preserve">50.792.033</w:t>
            </w:r>
          </w:p>
        </w:tc>
        <w:tc>
          <w:tcPr>
            <w:tcW w:w="1632.96" w:type="dxa"/>
            <w:vAlign w:val="center"/>
          </w:tcPr>
          <w:p>
            <w:pPr>
              <w:jc w:val="both"/>
              <w:pStyle w:val="CellColumn"/>
            </w:pPr>
            <w:r>
              <w:rPr>
                <w:rFonts w:hAnsi="Times New Roman" w:cs="Times New Roman"/>
              </w:rPr>
              <w:t xml:space="preserve">52.173.062</w:t>
            </w:r>
          </w:p>
        </w:tc>
        <w:tc>
          <w:tcPr>
            <w:tcW w:w="1632.96" w:type="dxa"/>
            <w:vAlign w:val="center"/>
          </w:tcPr>
          <w:p>
            <w:pPr>
              <w:jc w:val="both"/>
              <w:pStyle w:val="CellColumn"/>
            </w:pPr>
            <w:r>
              <w:rPr>
                <w:rFonts w:hAnsi="Times New Roman" w:cs="Times New Roman"/>
              </w:rPr>
              <w:t xml:space="preserve">52.455.109</w:t>
            </w:r>
          </w:p>
        </w:tc>
        <w:tc>
          <w:tcPr>
            <w:tcW w:w="510.3" w:type="dxa"/>
            <w:vAlign w:val="center"/>
          </w:tcPr>
          <w:p>
            <w:pPr>
              <w:jc w:val="both"/>
              <w:pStyle w:val="CellColumn"/>
            </w:pPr>
            <w:r>
              <w:rPr>
                <w:rFonts w:hAnsi="Times New Roman" w:cs="Times New Roman"/>
              </w:rPr>
              <w:t xml:space="preserve">103,9</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financiranje rashoda za zaposlene i materijalnih rashoda potrebnih za redovan rad općinskih državnih odvjetništava u kojima je ukupno 1.299 zaposlenih, od čega 414 pravosudnih dužnosnika i 885 službenika i namještenika. Od ukupno planiranog iznosa u 2025. godini na sredstva za plaće i doprinose odnosi se 40.782.487 € (osnovica za obračun plaće pravosudnim dužnosnicima iznosi 787,75 € uvećana za pripadajući koeficijent i minuli rad; osnovica za obračun plaće službenicima i namještenicima iznosi 947,18 € uvećana za pripadajući koeficijent i minuli rad). U izračun potrebnih sredstava za plaće uključena su i sredstva za isplatu staža s povećanim trajanjem zamjenicima koji su radili na poslovima istrage (B staž). Na ostale rashode za zaposlene (prava po Kolektivnom ugovoru) odnosi se 1.217.762 €, na naknade za prijevoz na posao i s posla 1.146.955 €, dok se preostala planirana sredstava odnose na materijalne izdatke. Najveći udio u materijalnim izdacima imaju rashodi za intelektualne usluge u iznosu 3.965.689 € (usluge vještaka, odvjetnika po službenoj dužnosti, prevoditelja), rashodi za usluge pošte i telefona 599.258 €, rashodi za uredski materijal 558.172 €,  rashodi za energiju 396.066 € te na dodatna ulaganja na građevinskim objektima 346.250 €. Od ukupno planiranog iznosa u 2026. godini na sredstva za plaće i doprinose odnosi se 42.333.821 €, na ostale rashode za zaposlene (prava po Kolektivnom ugovoru) 1.278.532 €, na naknade za prijevoz na posao i s posla 1.158.661 €, dok se ostatak sredstava odnosi na materijalne izdatke, gdje su najveći iznosi iskazani na istim stavkama rashoda kao i u prethodnoj godini. Od ukupno planiranog iznosa u 2027. godini na sredstva za plaće i doprinose odnosi se 42.767.395 €, na ostale rashode za zaposlene (prava po Kolektivnom ugovoru) 1.298.970 € , na naknade za prijevoz na posao i s posla 1.184.802 €, dok se ostatak sredstava odnosi na materijalne izdatke, gdje su najveći iznosi iskazani na istim stavkama rashoda kao i u prethodnoj godini. U 2026. i 2027. godini sredstva za zaposlene povećana su za iznos minulog rada.</w:t>
      </w:r>
    </w:p>
    <w:p>
      <w:pPr>
        <w:jc w:val="left"/>
        <w:pStyle w:val="Heading2"/>
      </w:pPr>
      <w:r>
        <w:rPr>
          <w:rFonts w:hAnsi="Times New Roman" w:cs="Times New Roman"/>
        </w:rPr>
        <w:t xml:space="preserve">10990 Državno odvjetništvo, Ured za suzbijanje korupcije i organiziranog kriminaliteta</w:t>
      </w:r>
    </w:p>
    <w:p>
      <w:pPr>
        <w:jc w:val="both"/>
        <w:pStyle w:val="Normal3"/>
      </w:pPr>
      <w:r>
        <w:rPr>
          <w:rFonts w:hAnsi="Times New Roman" w:cs="Times New Roman"/>
        </w:rPr>
        <w:t xml:space="preserve">Ured za suzbijanje korupcije i organiziranog  kriminaliteta (USKOK) osnovan je 2001. godine kao specijalizirano tijelo u sastavu državnog odvjetništva, s ciljem što učinkovitijeg i efikasnijeg suprotstavljanja korupciji i organiziranom kriminalu. Od osnivanja do danas USKOK je dobio veće zakonske ovlasti. Kadrovski se kontinuirano osnažuje, zaposlenici prolaze različite edukativne programe u zemlji i inozemstvu. U tijeku je informatizacija koja će, uz ostalo, spajanjem s bazama podataka ostalih tijela u državnoj upravi USKOK-u uvelike olakšati rad. Nadležnost USKOK-a je propisana Zakonom o Uredu za suzbijanje korupcije i organiziranog kriminaliteta. USKOK se bavi suzbijanjem korupcije i organiziranog kriminaliteta. U svim ostalim slučajevima nadležna su državna odvjetništva. Osnovna zadaća je progon počinitelja kaznenih djela organiziranog kriminaliteta i korupcije. Pored toga zadaća USKOK-a je i preventivna te edukativna antikorupcijska aktivnost s ciljem suzbijanja kriminalnih pojava, podizanja javne svijesti o opasnostima korupcije, potrebi njenog suzbijanja i provedba drugih aktivnosti predviđenih Nacionalnim programom za borbu protiv korupcije.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10990-Državno odvjetništvo, Ured za suzbijanje korupcije i organiziranog kriminaliteta</w:t>
            </w:r>
          </w:p>
        </w:tc>
        <w:tc>
          <w:tcPr>
            <w:tcW w:w="1632.96" w:type="dxa"/>
            <w:vAlign w:val="center"/>
          </w:tcPr>
          <w:p>
            <w:pPr>
              <w:jc w:val="both"/>
              <w:pStyle w:val="CellColumn"/>
            </w:pPr>
            <w:r>
              <w:rPr>
                <w:rFonts w:hAnsi="Times New Roman" w:cs="Times New Roman"/>
              </w:rPr>
              <w:t xml:space="preserve">4.432.846</w:t>
            </w:r>
          </w:p>
        </w:tc>
        <w:tc>
          <w:tcPr>
            <w:tcW w:w="1632.96" w:type="dxa"/>
            <w:vAlign w:val="center"/>
          </w:tcPr>
          <w:p>
            <w:pPr>
              <w:jc w:val="both"/>
              <w:pStyle w:val="CellColumn"/>
            </w:pPr>
            <w:r>
              <w:rPr>
                <w:rFonts w:hAnsi="Times New Roman" w:cs="Times New Roman"/>
              </w:rPr>
              <w:t xml:space="preserve">5.698.079</w:t>
            </w:r>
          </w:p>
        </w:tc>
        <w:tc>
          <w:tcPr>
            <w:tcW w:w="1632.96" w:type="dxa"/>
            <w:vAlign w:val="center"/>
          </w:tcPr>
          <w:p>
            <w:pPr>
              <w:jc w:val="both"/>
              <w:pStyle w:val="CellColumn"/>
            </w:pPr>
            <w:r>
              <w:rPr>
                <w:rFonts w:hAnsi="Times New Roman" w:cs="Times New Roman"/>
              </w:rPr>
              <w:t xml:space="preserve">6.035.483</w:t>
            </w:r>
          </w:p>
        </w:tc>
        <w:tc>
          <w:tcPr>
            <w:tcW w:w="1632.96" w:type="dxa"/>
            <w:vAlign w:val="center"/>
          </w:tcPr>
          <w:p>
            <w:pPr>
              <w:jc w:val="both"/>
              <w:pStyle w:val="CellColumn"/>
            </w:pPr>
            <w:r>
              <w:rPr>
                <w:rFonts w:hAnsi="Times New Roman" w:cs="Times New Roman"/>
              </w:rPr>
              <w:t xml:space="preserve">6.035.483</w:t>
            </w:r>
          </w:p>
        </w:tc>
        <w:tc>
          <w:tcPr>
            <w:tcW w:w="1632.96" w:type="dxa"/>
            <w:vAlign w:val="center"/>
          </w:tcPr>
          <w:p>
            <w:pPr>
              <w:jc w:val="both"/>
              <w:pStyle w:val="CellColumn"/>
            </w:pPr>
            <w:r>
              <w:rPr>
                <w:rFonts w:hAnsi="Times New Roman" w:cs="Times New Roman"/>
              </w:rPr>
              <w:t xml:space="preserve">6.038.324</w:t>
            </w:r>
          </w:p>
        </w:tc>
        <w:tc>
          <w:tcPr>
            <w:tcW w:w="510.3" w:type="dxa"/>
            <w:vAlign w:val="center"/>
          </w:tcPr>
          <w:p>
            <w:pPr>
              <w:jc w:val="both"/>
              <w:pStyle w:val="CellColumn"/>
            </w:pPr>
            <w:r>
              <w:rPr>
                <w:rFonts w:hAnsi="Times New Roman" w:cs="Times New Roman"/>
              </w:rPr>
              <w:t xml:space="preserve">105,9</w:t>
            </w:r>
          </w:p>
        </w:tc>
      </w:tr>
    </w:tbl>
    <w:p>
      <w:pPr>
        <w:jc w:val="left"/>
      </w:pPr>
      <w:r>
        <w:rPr>
          <w:rFonts w:hAnsi="Times New Roman" w:cs="Times New Roman"/>
        </w:rPr>
        <w:t xml:space="preserve"/>
      </w:r>
    </w:p>
    <w:p>
      <w:pPr>
        <w:jc w:val="left"/>
        <w:pStyle w:val="Heading3"/>
      </w:pPr>
      <w:r>
        <w:rPr>
          <w:rFonts w:hAnsi="Times New Roman" w:cs="Times New Roman"/>
        </w:rPr>
        <w:t xml:space="preserve">2810 SUZBIJANJE KORUPCIJE I ORGANIZIRANOG KRIMINALITETA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2810-SUZBIJANJE KORUPCIJE I ORGANIZIRANOG KRIMINALITETA</w:t>
            </w:r>
          </w:p>
        </w:tc>
        <w:tc>
          <w:tcPr>
            <w:tcW w:w="1632.96" w:type="dxa"/>
            <w:vAlign w:val="center"/>
          </w:tcPr>
          <w:p>
            <w:pPr>
              <w:jc w:val="both"/>
              <w:pStyle w:val="CellColumn"/>
            </w:pPr>
            <w:r>
              <w:rPr>
                <w:rFonts w:hAnsi="Times New Roman" w:cs="Times New Roman"/>
              </w:rPr>
              <w:t xml:space="preserve">4.432.846</w:t>
            </w:r>
          </w:p>
        </w:tc>
        <w:tc>
          <w:tcPr>
            <w:tcW w:w="1632.96" w:type="dxa"/>
            <w:vAlign w:val="center"/>
          </w:tcPr>
          <w:p>
            <w:pPr>
              <w:jc w:val="both"/>
              <w:pStyle w:val="CellColumn"/>
            </w:pPr>
            <w:r>
              <w:rPr>
                <w:rFonts w:hAnsi="Times New Roman" w:cs="Times New Roman"/>
              </w:rPr>
              <w:t xml:space="preserve">5.698.079</w:t>
            </w:r>
          </w:p>
        </w:tc>
        <w:tc>
          <w:tcPr>
            <w:tcW w:w="1632.96" w:type="dxa"/>
            <w:vAlign w:val="center"/>
          </w:tcPr>
          <w:p>
            <w:pPr>
              <w:jc w:val="both"/>
              <w:pStyle w:val="CellColumn"/>
            </w:pPr>
            <w:r>
              <w:rPr>
                <w:rFonts w:hAnsi="Times New Roman" w:cs="Times New Roman"/>
              </w:rPr>
              <w:t xml:space="preserve">6.035.483</w:t>
            </w:r>
          </w:p>
        </w:tc>
        <w:tc>
          <w:tcPr>
            <w:tcW w:w="1632.96" w:type="dxa"/>
            <w:vAlign w:val="center"/>
          </w:tcPr>
          <w:p>
            <w:pPr>
              <w:jc w:val="both"/>
              <w:pStyle w:val="CellColumn"/>
            </w:pPr>
            <w:r>
              <w:rPr>
                <w:rFonts w:hAnsi="Times New Roman" w:cs="Times New Roman"/>
              </w:rPr>
              <w:t xml:space="preserve">6.035.483</w:t>
            </w:r>
          </w:p>
        </w:tc>
        <w:tc>
          <w:tcPr>
            <w:tcW w:w="1632.96" w:type="dxa"/>
            <w:vAlign w:val="center"/>
          </w:tcPr>
          <w:p>
            <w:pPr>
              <w:jc w:val="both"/>
              <w:pStyle w:val="CellColumn"/>
            </w:pPr>
            <w:r>
              <w:rPr>
                <w:rFonts w:hAnsi="Times New Roman" w:cs="Times New Roman"/>
              </w:rPr>
              <w:t xml:space="preserve">6.038.324</w:t>
            </w:r>
          </w:p>
        </w:tc>
        <w:tc>
          <w:tcPr>
            <w:tcW w:w="510.3" w:type="dxa"/>
            <w:vAlign w:val="center"/>
          </w:tcPr>
          <w:p>
            <w:pPr>
              <w:jc w:val="both"/>
              <w:pStyle w:val="CellColumn"/>
            </w:pPr>
            <w:r>
              <w:rPr>
                <w:rFonts w:hAnsi="Times New Roman" w:cs="Times New Roman"/>
              </w:rPr>
              <w:t xml:space="preserve">105,9</w:t>
            </w:r>
          </w:p>
        </w:tc>
      </w:tr>
    </w:tbl>
    <w:p>
      <w:pPr>
        <w:jc w:val="left"/>
      </w:pPr>
      <w:r>
        <w:rPr>
          <w:rFonts w:hAnsi="Times New Roman" w:cs="Times New Roman"/>
        </w:rPr>
        <w:t xml:space="preserve"/>
      </w:r>
    </w:p>
    <w:p>
      <w:pPr>
        <w:jc w:val="left"/>
        <w:pStyle w:val="Heading7"/>
      </w:pPr>
      <w:r>
        <w:rPr>
          <w:rFonts w:hAnsi="Times New Roman" w:cs="Times New Roman"/>
        </w:rPr>
        <w:t xml:space="preserve">Cilj 1. Učinkovito suzbijanje korupcije i organiziranog kriminala</w:t>
      </w:r>
    </w:p>
    <w:p>
      <w:pPr>
        <w:jc w:val="left"/>
        <w:pStyle w:val="Heading4"/>
      </w:pPr>
      <w:r>
        <w:rPr>
          <w:rFonts w:hAnsi="Times New Roman" w:cs="Times New Roman"/>
        </w:rPr>
        <w:t xml:space="preserve">A678000 SUZBIJANJE KORUPCIJE I ORGANIZIRANOG KRIMINALITETA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Uredu za suzbijanje korupcije i organiziranog kriminaliteta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A678000-SUZBIJANJE KORUPCIJE I ORGANIZIRANOG KRIMINALITETA</w:t>
            </w:r>
          </w:p>
        </w:tc>
        <w:tc>
          <w:tcPr>
            <w:tcW w:w="1632.96" w:type="dxa"/>
            <w:vAlign w:val="center"/>
          </w:tcPr>
          <w:p>
            <w:pPr>
              <w:jc w:val="both"/>
              <w:pStyle w:val="CellColumn"/>
            </w:pPr>
            <w:r>
              <w:rPr>
                <w:rFonts w:hAnsi="Times New Roman" w:cs="Times New Roman"/>
              </w:rPr>
              <w:t xml:space="preserve">4.419.153</w:t>
            </w:r>
          </w:p>
        </w:tc>
        <w:tc>
          <w:tcPr>
            <w:tcW w:w="1632.96" w:type="dxa"/>
            <w:vAlign w:val="center"/>
          </w:tcPr>
          <w:p>
            <w:pPr>
              <w:jc w:val="both"/>
              <w:pStyle w:val="CellColumn"/>
            </w:pPr>
            <w:r>
              <w:rPr>
                <w:rFonts w:hAnsi="Times New Roman" w:cs="Times New Roman"/>
              </w:rPr>
              <w:t xml:space="preserve">5.665.879</w:t>
            </w:r>
          </w:p>
        </w:tc>
        <w:tc>
          <w:tcPr>
            <w:tcW w:w="1632.96" w:type="dxa"/>
            <w:vAlign w:val="center"/>
          </w:tcPr>
          <w:p>
            <w:pPr>
              <w:jc w:val="both"/>
              <w:pStyle w:val="CellColumn"/>
            </w:pPr>
            <w:r>
              <w:rPr>
                <w:rFonts w:hAnsi="Times New Roman" w:cs="Times New Roman"/>
              </w:rPr>
              <w:t xml:space="preserve">5.849.283</w:t>
            </w:r>
          </w:p>
        </w:tc>
        <w:tc>
          <w:tcPr>
            <w:tcW w:w="1632.96" w:type="dxa"/>
            <w:vAlign w:val="center"/>
          </w:tcPr>
          <w:p>
            <w:pPr>
              <w:jc w:val="both"/>
              <w:pStyle w:val="CellColumn"/>
            </w:pPr>
            <w:r>
              <w:rPr>
                <w:rFonts w:hAnsi="Times New Roman" w:cs="Times New Roman"/>
              </w:rPr>
              <w:t xml:space="preserve">5.849.283</w:t>
            </w:r>
          </w:p>
        </w:tc>
        <w:tc>
          <w:tcPr>
            <w:tcW w:w="1632.96" w:type="dxa"/>
            <w:vAlign w:val="center"/>
          </w:tcPr>
          <w:p>
            <w:pPr>
              <w:jc w:val="both"/>
              <w:pStyle w:val="CellColumn"/>
            </w:pPr>
            <w:r>
              <w:rPr>
                <w:rFonts w:hAnsi="Times New Roman" w:cs="Times New Roman"/>
              </w:rPr>
              <w:t xml:space="preserve">5.852.124</w:t>
            </w:r>
          </w:p>
        </w:tc>
        <w:tc>
          <w:tcPr>
            <w:tcW w:w="510.3" w:type="dxa"/>
            <w:vAlign w:val="center"/>
          </w:tcPr>
          <w:p>
            <w:pPr>
              <w:jc w:val="both"/>
              <w:pStyle w:val="CellColumn"/>
            </w:pPr>
            <w:r>
              <w:rPr>
                <w:rFonts w:hAnsi="Times New Roman" w:cs="Times New Roman"/>
              </w:rPr>
              <w:t xml:space="preserve">103,2</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zaposlene i materijalnih rashoda potrebnih za redovan rad Ureda za suzbijanje korupcije i organiziranog kriminaliteta, u kojem je ukupno 93 zaposlenih, od čega 28 pravosudnih dužnosnika i 65 službenika i namještenika. Od ukupno planiranog iznosa u 2025. na sredstva za plaće i doprinose se odnosi 4.615.450 € (osnovica za obračun plaće pravosudnim dužnosnicima iznosi 787,85 € uvećana za pripadajući koeficijent i minuli rad; osnovica za obračun plaće službenicima i namještenicima iznosi 947,18 € uvećana za pripadajući koeficijent i minuli rad), na ostale rashode za zaposlene (prava po Kolektivnom ugovoru) 80.000 €, na naknade za prijevoz na posao i s posla 80.000 €, dok se ostatak planiranih sredstava odnosi na materijalne izdatke gdje se najveći dio odnosi na rashode za intelektualne usluge (595.000 €), troškove energije (69.000 €), usluge telefona i pošte (59.000 €) i troškove otplate službenih vozila putem financijskog leasinga (33.000 €). Od ukupno planiranog iznosa u 2026. na sredstva za plaće i doprinose se odnosi 4.615.450 €, na ostale rashode za zaposlene (prava po Kolektivnom ugovoru) 80.000 €, na naknade za prijevoz na posao i s posla 80.000 €, dok se ostatak planiranih sredstava odnosi na materijalne izdatke gdje su najveći iznosi iskazani na istim stavkama rashoda kao i u prethodnoj godini. Od ukupno planiranog iznosa u 2027. na sredstva za plaće i doprinose odnosi se 4.618.091 €, na ostale rashode za zaposlene (prava po Kolektivnom ugovoru) 80.200 €, na naknade za prijevoz na posao i s posla 80.000 €, dok se ostatak sredstava odnosi na materijalne izdatke gdje su najveći iznosi iskazani na istim stavkama rashoda kao i u prethodnoj godini.</w:t>
      </w:r>
    </w:p>
    <w:p>
      <w:pPr>
        <w:jc w:val="left"/>
        <w:pStyle w:val="Heading4"/>
      </w:pPr>
      <w:r>
        <w:rPr>
          <w:rFonts w:hAnsi="Times New Roman" w:cs="Times New Roman"/>
        </w:rPr>
        <w:t xml:space="preserve">A678008 MEĐUNARODNA SURADNJA NA SUZBIJANJU ORGANIZIRANOG KRIMINALITETA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Uredu za suzbijanje korupcije i organiziranog kriminaliteta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A678008-MEĐUNARODNA SURADNJA NA SUZBIJANJU ORGANIZIRANOG KRIMINALITETA</w:t>
            </w:r>
          </w:p>
        </w:tc>
        <w:tc>
          <w:tcPr>
            <w:tcW w:w="1632.96" w:type="dxa"/>
            <w:vAlign w:val="center"/>
          </w:tcPr>
          <w:p>
            <w:pPr>
              <w:jc w:val="both"/>
              <w:pStyle w:val="CellColumn"/>
            </w:pPr>
            <w:r>
              <w:rPr>
                <w:rFonts w:hAnsi="Times New Roman" w:cs="Times New Roman"/>
              </w:rPr>
              <w:t xml:space="preserve">13.693</w:t>
            </w:r>
          </w:p>
        </w:tc>
        <w:tc>
          <w:tcPr>
            <w:tcW w:w="1632.96" w:type="dxa"/>
            <w:vAlign w:val="center"/>
          </w:tcPr>
          <w:p>
            <w:pPr>
              <w:jc w:val="both"/>
              <w:pStyle w:val="CellColumn"/>
            </w:pPr>
            <w:r>
              <w:rPr>
                <w:rFonts w:hAnsi="Times New Roman" w:cs="Times New Roman"/>
              </w:rPr>
              <w:t xml:space="preserve">32.200</w:t>
            </w:r>
          </w:p>
        </w:tc>
        <w:tc>
          <w:tcPr>
            <w:tcW w:w="1632.96" w:type="dxa"/>
            <w:vAlign w:val="center"/>
          </w:tcPr>
          <w:p>
            <w:pPr>
              <w:jc w:val="both"/>
              <w:pStyle w:val="CellColumn"/>
            </w:pPr>
            <w:r>
              <w:rPr>
                <w:rFonts w:hAnsi="Times New Roman" w:cs="Times New Roman"/>
              </w:rPr>
              <w:t xml:space="preserve">36.200</w:t>
            </w:r>
          </w:p>
        </w:tc>
        <w:tc>
          <w:tcPr>
            <w:tcW w:w="1632.96" w:type="dxa"/>
            <w:vAlign w:val="center"/>
          </w:tcPr>
          <w:p>
            <w:pPr>
              <w:jc w:val="both"/>
              <w:pStyle w:val="CellColumn"/>
            </w:pPr>
            <w:r>
              <w:rPr>
                <w:rFonts w:hAnsi="Times New Roman" w:cs="Times New Roman"/>
              </w:rPr>
              <w:t xml:space="preserve">36.200</w:t>
            </w:r>
          </w:p>
        </w:tc>
        <w:tc>
          <w:tcPr>
            <w:tcW w:w="1632.96" w:type="dxa"/>
            <w:vAlign w:val="center"/>
          </w:tcPr>
          <w:p>
            <w:pPr>
              <w:jc w:val="both"/>
              <w:pStyle w:val="CellColumn"/>
            </w:pPr>
            <w:r>
              <w:rPr>
                <w:rFonts w:hAnsi="Times New Roman" w:cs="Times New Roman"/>
              </w:rPr>
              <w:t xml:space="preserve">36.200</w:t>
            </w:r>
          </w:p>
        </w:tc>
        <w:tc>
          <w:tcPr>
            <w:tcW w:w="510.3" w:type="dxa"/>
            <w:vAlign w:val="center"/>
          </w:tcPr>
          <w:p>
            <w:pPr>
              <w:jc w:val="both"/>
              <w:pStyle w:val="CellColumn"/>
            </w:pPr>
            <w:r>
              <w:rPr>
                <w:rFonts w:hAnsi="Times New Roman" w:cs="Times New Roman"/>
              </w:rPr>
              <w:t xml:space="preserve">112,4</w:t>
            </w:r>
          </w:p>
        </w:tc>
      </w:tr>
    </w:tbl>
    <w:p>
      <w:pPr>
        <w:jc w:val="left"/>
      </w:pPr>
      <w:r>
        <w:rPr>
          <w:rFonts w:hAnsi="Times New Roman" w:cs="Times New Roman"/>
        </w:rPr>
        <w:t xml:space="preserve"/>
      </w:r>
    </w:p>
    <w:p>
      <w:pPr>
        <w:jc w:val="both"/>
        <w:pStyle w:val="Normal"/>
      </w:pPr>
      <w:r>
        <w:rPr>
          <w:rFonts w:hAnsi="Times New Roman" w:cs="Times New Roman"/>
        </w:rPr>
        <w:t xml:space="preserve">Sredstvima osiguranim u okviru ove aktivnosti financira se suradnja Ureda sa državnim odvjetništvima iz regije, unutar i izvan Europe, kao i sa različitim međunarodnim organizacijama. Planirana sredstva u 2025. se odnose na službena putovanja u inozemstvo, stručno usavršavanje zaposlenika, naknade troškova osobama izvan radnog odnosa koji su upućeni na rad u USKOK i ostale rashode. Planirana sredstva za 2026. i 2027. su na razini plana za 2025.</w:t>
      </w:r>
    </w:p>
    <w:p>
      <w:pPr>
        <w:jc w:val="left"/>
        <w:pStyle w:val="Heading4"/>
      </w:pPr>
      <w:r>
        <w:rPr>
          <w:rFonts w:hAnsi="Times New Roman" w:cs="Times New Roman"/>
        </w:rPr>
        <w:t xml:space="preserve">A678010 DJELATNOST ODJELA DELEGIRANIH EUROPSKIH TUŽITELJA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provedbi Uredbe Vijeća (EU) 2017/1939 od 12. listopada 2017. o provedbi pojačanje suradnje u vezi s osnivanjem ureda Europskog javnog tužitelja (EPPO”), Zakon o državnom odvjetništvu, Zakon o državnoodvjetničkom vijeću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A678010-DJELATNOST ODJELA DELEGIRANIH EUROPSKIH TUŽITELJA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150.000</w:t>
            </w:r>
          </w:p>
        </w:tc>
        <w:tc>
          <w:tcPr>
            <w:tcW w:w="1632.96" w:type="dxa"/>
            <w:vAlign w:val="center"/>
          </w:tcPr>
          <w:p>
            <w:pPr>
              <w:jc w:val="both"/>
              <w:pStyle w:val="CellColumn"/>
            </w:pPr>
            <w:r>
              <w:rPr>
                <w:rFonts w:hAnsi="Times New Roman" w:cs="Times New Roman"/>
              </w:rPr>
              <w:t xml:space="preserve">150.000</w:t>
            </w:r>
          </w:p>
        </w:tc>
        <w:tc>
          <w:tcPr>
            <w:tcW w:w="1632.96" w:type="dxa"/>
            <w:vAlign w:val="center"/>
          </w:tcPr>
          <w:p>
            <w:pPr>
              <w:jc w:val="both"/>
              <w:pStyle w:val="CellColumn"/>
            </w:pPr>
            <w:r>
              <w:rPr>
                <w:rFonts w:hAnsi="Times New Roman" w:cs="Times New Roman"/>
              </w:rPr>
              <w:t xml:space="preserve">150.000</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osigurana su sredstva za financiranje rashoda za obavljanje redovne djelatnosti Odjela delegiranih europskih tužitelja. Odjel delegiranih europskih tužitelja djeluje u sastavu Ureda za suzbijanje korupcije i organiziranog kriminaliteta (USKOK). Zakonska osnova za osnivanje Ureda europskog javnog tužitelja (“EPPO) je Zakon o provedbi Uredbe Vijeća (EU) 2017/1939 od 12. listopada 2017. o provedbi pojačanje suradnje u vezi s osnivanjem ureda Europskog javnog tužitelja (EPPO”). Poslove u Odjelu delegiranih europskih tužitelja obavljaju delegirani europski tužitelji i službenici pod nadzorom delegiranih europskih tužitelja.</w:t>
      </w:r>
    </w:p>
    <w:p>
      <w:pPr>
        <w:jc w:val="left"/>
        <w:pStyle w:val="Heading2"/>
      </w:pPr>
      <w:r>
        <w:rPr>
          <w:rFonts w:hAnsi="Times New Roman" w:cs="Times New Roman"/>
        </w:rPr>
        <w:t xml:space="preserve">10995 Državna škola za javnu upravu</w:t>
      </w:r>
    </w:p>
    <w:p>
      <w:pPr>
        <w:jc w:val="both"/>
        <w:pStyle w:val="Normal3"/>
      </w:pPr>
      <w:r>
        <w:rPr>
          <w:rFonts w:hAnsi="Times New Roman" w:cs="Times New Roman"/>
        </w:rPr>
        <w:t xml:space="preserve">Državna škola za javnu upravu je javna ustanova, upisana u Registar proračunskih korisnika čija je osnovna djelatnost stručno osposobljavanje i usavršavanje državnih dužnosnika, državnih službenika, javnih službenika i zaposlenika u pravnim osobama s javnim ovlastima, izabranih dužnosnika i službenika u tijelima lokalne i područne (regionalne) samouprave te obrazovanje odraslih, a s ciljem trajnog podizanja razine i kvalitete njihovog znanja, vještina i sposobnosti, radi oblikovanja profesionalnog, djelotvornog i učinkovitog javnog sektora, koji će pružati pravodobne i kvalitetne javne usluge, u skladu s najboljim općeprihvaćenim standardima. Od 1. siječnja 2015.  Državna škola za javnu upravu je u sustavu PDV-a, zbog stjecanja prihoda od obavljanja djelatnosti - vlastiti prihodi (izvor financiranja 31). Škola i dalje provodi aktivnosti jačanja kompetencija i usavršavanja službenika, dužnosnika, rukovoditelja u javnoj upravi, što pridonosi daljnjem jačanju sustava usavršavanja u javnom sektoru Republike Hrvatske.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10995-Državna škola za javnu upravu</w:t>
            </w:r>
          </w:p>
        </w:tc>
        <w:tc>
          <w:tcPr>
            <w:tcW w:w="1632.96" w:type="dxa"/>
            <w:vAlign w:val="center"/>
          </w:tcPr>
          <w:p>
            <w:pPr>
              <w:jc w:val="both"/>
              <w:pStyle w:val="CellColumn"/>
            </w:pPr>
            <w:r>
              <w:rPr>
                <w:rFonts w:hAnsi="Times New Roman" w:cs="Times New Roman"/>
              </w:rPr>
              <w:t xml:space="preserve">1.978.432</w:t>
            </w:r>
          </w:p>
        </w:tc>
        <w:tc>
          <w:tcPr>
            <w:tcW w:w="1632.96" w:type="dxa"/>
            <w:vAlign w:val="center"/>
          </w:tcPr>
          <w:p>
            <w:pPr>
              <w:jc w:val="both"/>
              <w:pStyle w:val="CellColumn"/>
            </w:pPr>
            <w:r>
              <w:rPr>
                <w:rFonts w:hAnsi="Times New Roman" w:cs="Times New Roman"/>
              </w:rPr>
              <w:t xml:space="preserve">1.287.874</w:t>
            </w:r>
          </w:p>
        </w:tc>
        <w:tc>
          <w:tcPr>
            <w:tcW w:w="1632.96" w:type="dxa"/>
            <w:vAlign w:val="center"/>
          </w:tcPr>
          <w:p>
            <w:pPr>
              <w:jc w:val="both"/>
              <w:pStyle w:val="CellColumn"/>
            </w:pPr>
            <w:r>
              <w:rPr>
                <w:rFonts w:hAnsi="Times New Roman" w:cs="Times New Roman"/>
              </w:rPr>
              <w:t xml:space="preserve">1.273.844</w:t>
            </w:r>
          </w:p>
        </w:tc>
        <w:tc>
          <w:tcPr>
            <w:tcW w:w="1632.96" w:type="dxa"/>
            <w:vAlign w:val="center"/>
          </w:tcPr>
          <w:p>
            <w:pPr>
              <w:jc w:val="both"/>
              <w:pStyle w:val="CellColumn"/>
            </w:pPr>
            <w:r>
              <w:rPr>
                <w:rFonts w:hAnsi="Times New Roman" w:cs="Times New Roman"/>
              </w:rPr>
              <w:t xml:space="preserve">1.357.067</w:t>
            </w:r>
          </w:p>
        </w:tc>
        <w:tc>
          <w:tcPr>
            <w:tcW w:w="1632.96" w:type="dxa"/>
            <w:vAlign w:val="center"/>
          </w:tcPr>
          <w:p>
            <w:pPr>
              <w:jc w:val="both"/>
              <w:pStyle w:val="CellColumn"/>
            </w:pPr>
            <w:r>
              <w:rPr>
                <w:rFonts w:hAnsi="Times New Roman" w:cs="Times New Roman"/>
              </w:rPr>
              <w:t xml:space="preserve">1.382.612</w:t>
            </w:r>
          </w:p>
        </w:tc>
        <w:tc>
          <w:tcPr>
            <w:tcW w:w="510.3" w:type="dxa"/>
            <w:vAlign w:val="center"/>
          </w:tcPr>
          <w:p>
            <w:pPr>
              <w:jc w:val="both"/>
              <w:pStyle w:val="CellColumn"/>
            </w:pPr>
            <w:r>
              <w:rPr>
                <w:rFonts w:hAnsi="Times New Roman" w:cs="Times New Roman"/>
              </w:rPr>
              <w:t xml:space="preserve">98,9</w:t>
            </w:r>
          </w:p>
        </w:tc>
      </w:tr>
    </w:tbl>
    <w:p>
      <w:pPr>
        <w:jc w:val="left"/>
      </w:pPr>
      <w:r>
        <w:rPr>
          <w:rFonts w:hAnsi="Times New Roman" w:cs="Times New Roman"/>
        </w:rPr>
        <w:t xml:space="preserve"/>
      </w:r>
    </w:p>
    <w:p>
      <w:pPr>
        <w:jc w:val="left"/>
        <w:pStyle w:val="Heading3"/>
      </w:pPr>
      <w:r>
        <w:rPr>
          <w:rFonts w:hAnsi="Times New Roman" w:cs="Times New Roman"/>
        </w:rPr>
        <w:t xml:space="preserve">2401 USTROJSTVO I DIGITALIZACIJA JAVNE UPRAVE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2401-USTROJSTVO I DIGITALIZACIJA JAVNE UPRAVE</w:t>
            </w:r>
          </w:p>
        </w:tc>
        <w:tc>
          <w:tcPr>
            <w:tcW w:w="1632.96" w:type="dxa"/>
            <w:vAlign w:val="center"/>
          </w:tcPr>
          <w:p>
            <w:pPr>
              <w:jc w:val="both"/>
              <w:pStyle w:val="CellColumn"/>
            </w:pPr>
            <w:r>
              <w:rPr>
                <w:rFonts w:hAnsi="Times New Roman" w:cs="Times New Roman"/>
              </w:rPr>
              <w:t xml:space="preserve">1.978.432</w:t>
            </w:r>
          </w:p>
        </w:tc>
        <w:tc>
          <w:tcPr>
            <w:tcW w:w="1632.96" w:type="dxa"/>
            <w:vAlign w:val="center"/>
          </w:tcPr>
          <w:p>
            <w:pPr>
              <w:jc w:val="both"/>
              <w:pStyle w:val="CellColumn"/>
            </w:pPr>
            <w:r>
              <w:rPr>
                <w:rFonts w:hAnsi="Times New Roman" w:cs="Times New Roman"/>
              </w:rPr>
              <w:t xml:space="preserve">1.287.874</w:t>
            </w:r>
          </w:p>
        </w:tc>
        <w:tc>
          <w:tcPr>
            <w:tcW w:w="1632.96" w:type="dxa"/>
            <w:vAlign w:val="center"/>
          </w:tcPr>
          <w:p>
            <w:pPr>
              <w:jc w:val="both"/>
              <w:pStyle w:val="CellColumn"/>
            </w:pPr>
            <w:r>
              <w:rPr>
                <w:rFonts w:hAnsi="Times New Roman" w:cs="Times New Roman"/>
              </w:rPr>
              <w:t xml:space="preserve">1.273.844</w:t>
            </w:r>
          </w:p>
        </w:tc>
        <w:tc>
          <w:tcPr>
            <w:tcW w:w="1632.96" w:type="dxa"/>
            <w:vAlign w:val="center"/>
          </w:tcPr>
          <w:p>
            <w:pPr>
              <w:jc w:val="both"/>
              <w:pStyle w:val="CellColumn"/>
            </w:pPr>
            <w:r>
              <w:rPr>
                <w:rFonts w:hAnsi="Times New Roman" w:cs="Times New Roman"/>
              </w:rPr>
              <w:t xml:space="preserve">1.357.067</w:t>
            </w:r>
          </w:p>
        </w:tc>
        <w:tc>
          <w:tcPr>
            <w:tcW w:w="1632.96" w:type="dxa"/>
            <w:vAlign w:val="center"/>
          </w:tcPr>
          <w:p>
            <w:pPr>
              <w:jc w:val="both"/>
              <w:pStyle w:val="CellColumn"/>
            </w:pPr>
            <w:r>
              <w:rPr>
                <w:rFonts w:hAnsi="Times New Roman" w:cs="Times New Roman"/>
              </w:rPr>
              <w:t xml:space="preserve">1.382.612</w:t>
            </w:r>
          </w:p>
        </w:tc>
        <w:tc>
          <w:tcPr>
            <w:tcW w:w="510.3" w:type="dxa"/>
            <w:vAlign w:val="center"/>
          </w:tcPr>
          <w:p>
            <w:pPr>
              <w:jc w:val="both"/>
              <w:pStyle w:val="CellColumn"/>
            </w:pPr>
            <w:r>
              <w:rPr>
                <w:rFonts w:hAnsi="Times New Roman" w:cs="Times New Roman"/>
              </w:rPr>
              <w:t xml:space="preserve">98,9</w:t>
            </w:r>
          </w:p>
        </w:tc>
      </w:tr>
    </w:tbl>
    <w:p>
      <w:pPr>
        <w:jc w:val="left"/>
      </w:pPr>
      <w:r>
        <w:rPr>
          <w:rFonts w:hAnsi="Times New Roman" w:cs="Times New Roman"/>
        </w:rPr>
        <w:t xml:space="preserve"/>
      </w:r>
    </w:p>
    <w:p>
      <w:pPr>
        <w:jc w:val="left"/>
        <w:pStyle w:val="Heading7"/>
      </w:pPr>
      <w:r>
        <w:rPr>
          <w:rFonts w:hAnsi="Times New Roman" w:cs="Times New Roman"/>
        </w:rPr>
        <w:t xml:space="preserve">Cilj 1. Unaprijediti kvalitetu i učinkovitost izobrazbe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Unaprjeđeni i razvijeni kapaciteti i programi usavršavanja i osposobljavanja DŠJU sukladno prioritetima Vlade RH</w:t>
            </w:r>
          </w:p>
        </w:tc>
        <w:tc>
          <w:tcPr>
            <w:tcW w:w="2245.32" w:type="dxa"/>
            <w:vAlign w:val="center"/>
          </w:tcPr>
          <w:p>
            <w:pPr>
              <w:jc w:val="both"/>
              <w:pStyle w:val="CellColumn"/>
            </w:pPr>
            <w:r>
              <w:rPr>
                <w:rFonts w:hAnsi="Times New Roman" w:cs="Times New Roman"/>
              </w:rPr>
              <w:t xml:space="preserve">Kontinuirani razvoj i provedba programa stručnog usavršavanja, inovativnih i kreativnih metoda podučavanja te prilagodba edukacijskih programa u slučaju izvanrednih okolnosti ili ograničenja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120</w:t>
            </w:r>
          </w:p>
        </w:tc>
        <w:tc>
          <w:tcPr>
            <w:tcW w:w="918.54" w:type="dxa"/>
            <w:vAlign w:val="center"/>
          </w:tcPr>
          <w:p>
            <w:pPr>
              <w:jc w:val="both"/>
              <w:pStyle w:val="CellColumn"/>
            </w:pPr>
            <w:r>
              <w:rPr>
                <w:rFonts w:hAnsi="Times New Roman" w:cs="Times New Roman"/>
              </w:rPr>
              <w:t xml:space="preserve">Godišnji plan rada DŠJU za 2024.</w:t>
            </w:r>
          </w:p>
        </w:tc>
        <w:tc>
          <w:tcPr>
            <w:tcW w:w="918.54" w:type="dxa"/>
            <w:vAlign w:val="center"/>
          </w:tcPr>
          <w:p>
            <w:pPr>
              <w:jc w:val="both"/>
              <w:pStyle w:val="CellColumn"/>
            </w:pPr>
            <w:r>
              <w:rPr>
                <w:rFonts w:hAnsi="Times New Roman" w:cs="Times New Roman"/>
              </w:rPr>
              <w:t xml:space="preserve">126</w:t>
            </w:r>
          </w:p>
        </w:tc>
        <w:tc>
          <w:tcPr>
            <w:tcW w:w="918.54" w:type="dxa"/>
            <w:vAlign w:val="center"/>
          </w:tcPr>
          <w:p>
            <w:pPr>
              <w:jc w:val="both"/>
              <w:pStyle w:val="CellColumn"/>
            </w:pPr>
            <w:r>
              <w:rPr>
                <w:rFonts w:hAnsi="Times New Roman" w:cs="Times New Roman"/>
              </w:rPr>
              <w:t xml:space="preserve">129</w:t>
            </w:r>
          </w:p>
        </w:tc>
        <w:tc>
          <w:tcPr>
            <w:tcW w:w="918.54" w:type="dxa"/>
            <w:vAlign w:val="center"/>
          </w:tcPr>
          <w:p>
            <w:pPr>
              <w:jc w:val="both"/>
              <w:pStyle w:val="CellColumn"/>
            </w:pPr>
            <w:r>
              <w:rPr>
                <w:rFonts w:hAnsi="Times New Roman" w:cs="Times New Roman"/>
              </w:rPr>
              <w:t xml:space="preserve">132</w:t>
            </w:r>
          </w:p>
        </w:tc>
      </w:tr>
      <w:tr>
        <w:trPr>
          <w:cantSplit/>
        </w:trPr>
        <w:tc>
          <w:tcPr>
            <w:tcW w:w="2245.32" w:type="dxa"/>
            <w:vAlign w:val="center"/>
          </w:tcPr>
          <w:p>
            <w:pPr>
              <w:jc w:val="both"/>
              <w:pStyle w:val="CellColumn"/>
            </w:pPr>
            <w:r>
              <w:rPr>
                <w:rFonts w:hAnsi="Times New Roman" w:cs="Times New Roman"/>
              </w:rPr>
              <w:t xml:space="preserve">Uspostavljen sustav kvalitete u djelovanju i provedbi aktivnosti DŠJU</w:t>
            </w:r>
          </w:p>
        </w:tc>
        <w:tc>
          <w:tcPr>
            <w:tcW w:w="2245.32" w:type="dxa"/>
            <w:vAlign w:val="center"/>
          </w:tcPr>
          <w:p>
            <w:pPr>
              <w:jc w:val="both"/>
              <w:pStyle w:val="CellColumn"/>
            </w:pPr>
            <w:r>
              <w:rPr>
                <w:rFonts w:hAnsi="Times New Roman" w:cs="Times New Roman"/>
              </w:rPr>
              <w:t xml:space="preserve">Unaprjeđen  sustav praćenja i vrednovanja svih aktivnosti te svih ostalih poslovnih procesa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25</w:t>
            </w:r>
          </w:p>
        </w:tc>
        <w:tc>
          <w:tcPr>
            <w:tcW w:w="918.54" w:type="dxa"/>
            <w:vAlign w:val="center"/>
          </w:tcPr>
          <w:p>
            <w:pPr>
              <w:jc w:val="both"/>
              <w:pStyle w:val="CellColumn"/>
            </w:pPr>
            <w:r>
              <w:rPr>
                <w:rFonts w:hAnsi="Times New Roman" w:cs="Times New Roman"/>
              </w:rPr>
              <w:t xml:space="preserve">Godišnji plan rada DŠJU za 2024.</w:t>
            </w:r>
          </w:p>
        </w:tc>
        <w:tc>
          <w:tcPr>
            <w:tcW w:w="918.54" w:type="dxa"/>
            <w:vAlign w:val="center"/>
          </w:tcPr>
          <w:p>
            <w:pPr>
              <w:jc w:val="both"/>
              <w:pStyle w:val="CellColumn"/>
            </w:pPr>
            <w:r>
              <w:rPr>
                <w:rFonts w:hAnsi="Times New Roman" w:cs="Times New Roman"/>
              </w:rPr>
              <w:t xml:space="preserve">32</w:t>
            </w:r>
          </w:p>
        </w:tc>
        <w:tc>
          <w:tcPr>
            <w:tcW w:w="918.54" w:type="dxa"/>
            <w:vAlign w:val="center"/>
          </w:tcPr>
          <w:p>
            <w:pPr>
              <w:jc w:val="both"/>
              <w:pStyle w:val="CellColumn"/>
            </w:pPr>
            <w:r>
              <w:rPr>
                <w:rFonts w:hAnsi="Times New Roman" w:cs="Times New Roman"/>
              </w:rPr>
              <w:t xml:space="preserve">35</w:t>
            </w:r>
          </w:p>
        </w:tc>
        <w:tc>
          <w:tcPr>
            <w:tcW w:w="918.54" w:type="dxa"/>
            <w:vAlign w:val="center"/>
          </w:tcPr>
          <w:p>
            <w:pPr>
              <w:jc w:val="both"/>
              <w:pStyle w:val="CellColumn"/>
            </w:pPr>
            <w:r>
              <w:rPr>
                <w:rFonts w:hAnsi="Times New Roman" w:cs="Times New Roman"/>
              </w:rPr>
              <w:t xml:space="preserve">38</w:t>
            </w:r>
          </w:p>
        </w:tc>
      </w:tr>
      <w:tr>
        <w:trPr>
          <w:cantSplit/>
        </w:trPr>
        <w:tc>
          <w:tcPr>
            <w:tcW w:w="2245.32" w:type="dxa"/>
            <w:vAlign w:val="center"/>
          </w:tcPr>
          <w:p>
            <w:pPr>
              <w:jc w:val="both"/>
              <w:pStyle w:val="CellColumn"/>
            </w:pPr>
            <w:r>
              <w:rPr>
                <w:rFonts w:hAnsi="Times New Roman" w:cs="Times New Roman"/>
              </w:rPr>
              <w:t xml:space="preserve">Pojačane upravljačke kompetencije dužnosnika na središnjoj i lokalnoj razini</w:t>
            </w:r>
          </w:p>
        </w:tc>
        <w:tc>
          <w:tcPr>
            <w:tcW w:w="2245.32" w:type="dxa"/>
            <w:vAlign w:val="center"/>
          </w:tcPr>
          <w:p>
            <w:pPr>
              <w:jc w:val="both"/>
              <w:pStyle w:val="CellColumn"/>
            </w:pPr>
            <w:r>
              <w:rPr>
                <w:rFonts w:hAnsi="Times New Roman" w:cs="Times New Roman"/>
              </w:rPr>
              <w:t xml:space="preserve">Razvijeni i implementirani specijalizirani programi izobrazbe te sve pripadajuće aktivnosti koje za cilj imaju jačanje upravljačkih kompetencija uz uključenje svih relevantnih dionika na središnjoj i regionalnoj razini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3</w:t>
            </w:r>
          </w:p>
        </w:tc>
        <w:tc>
          <w:tcPr>
            <w:tcW w:w="918.54" w:type="dxa"/>
            <w:vAlign w:val="center"/>
          </w:tcPr>
          <w:p>
            <w:pPr>
              <w:jc w:val="both"/>
              <w:pStyle w:val="CellColumn"/>
            </w:pPr>
            <w:r>
              <w:rPr>
                <w:rFonts w:hAnsi="Times New Roman" w:cs="Times New Roman"/>
              </w:rPr>
              <w:t xml:space="preserve">Godišnji plan rada DŠJU za 2024.</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8</w:t>
            </w:r>
          </w:p>
        </w:tc>
      </w:tr>
      <w:tr>
        <w:trPr>
          <w:cantSplit/>
        </w:trPr>
        <w:tc>
          <w:tcPr>
            <w:tcW w:w="2245.32" w:type="dxa"/>
            <w:vAlign w:val="center"/>
          </w:tcPr>
          <w:p>
            <w:pPr>
              <w:jc w:val="both"/>
              <w:pStyle w:val="CellColumn"/>
            </w:pPr>
            <w:r>
              <w:rPr>
                <w:rFonts w:hAnsi="Times New Roman" w:cs="Times New Roman"/>
              </w:rPr>
              <w:t xml:space="preserve">Ojačana međunarodna i  međuinstitucionalna suradnja</w:t>
            </w:r>
          </w:p>
        </w:tc>
        <w:tc>
          <w:tcPr>
            <w:tcW w:w="2245.32" w:type="dxa"/>
            <w:vAlign w:val="center"/>
          </w:tcPr>
          <w:p>
            <w:pPr>
              <w:jc w:val="both"/>
              <w:pStyle w:val="CellColumn"/>
            </w:pPr>
            <w:r>
              <w:rPr>
                <w:rFonts w:hAnsi="Times New Roman" w:cs="Times New Roman"/>
              </w:rPr>
              <w:t xml:space="preserve">Povećana suradnja u okviru europske mreže instituta i škola za javnu upravu, kontinuirano uvođenje novih inicijativa i aktivnosti s ciljem proširenja suradnje sa srodnim domaćim, europskim i međunarodnim institucijama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4</w:t>
            </w:r>
          </w:p>
        </w:tc>
        <w:tc>
          <w:tcPr>
            <w:tcW w:w="918.54" w:type="dxa"/>
            <w:vAlign w:val="center"/>
          </w:tcPr>
          <w:p>
            <w:pPr>
              <w:jc w:val="both"/>
              <w:pStyle w:val="CellColumn"/>
            </w:pPr>
            <w:r>
              <w:rPr>
                <w:rFonts w:hAnsi="Times New Roman" w:cs="Times New Roman"/>
              </w:rPr>
              <w:t xml:space="preserve">Godišnji plan rada DŠJU za 2024.</w:t>
            </w:r>
          </w:p>
        </w:tc>
        <w:tc>
          <w:tcPr>
            <w:tcW w:w="918.54" w:type="dxa"/>
            <w:vAlign w:val="center"/>
          </w:tcPr>
          <w:p>
            <w:pPr>
              <w:jc w:val="both"/>
              <w:pStyle w:val="CellColumn"/>
            </w:pPr>
            <w:r>
              <w:rPr>
                <w:rFonts w:hAnsi="Times New Roman" w:cs="Times New Roman"/>
              </w:rPr>
              <w:t xml:space="preserve">6</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8</w:t>
            </w:r>
          </w:p>
        </w:tc>
      </w:tr>
    </w:tbl>
    <w:p>
      <w:pPr>
        <w:jc w:val="left"/>
      </w:pPr>
      <w:r>
        <w:rPr>
          <w:rFonts w:hAnsi="Times New Roman" w:cs="Times New Roman"/>
        </w:rPr>
        <w:t xml:space="preserve"/>
      </w:r>
    </w:p>
    <w:p>
      <w:pPr>
        <w:jc w:val="left"/>
        <w:pStyle w:val="Heading4"/>
      </w:pPr>
      <w:r>
        <w:rPr>
          <w:rFonts w:hAnsi="Times New Roman" w:cs="Times New Roman"/>
        </w:rPr>
        <w:t xml:space="preserve">A677018 ADMINISTRACIJA I UPRAVLJANJE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Uredba o nazivima radnih mjesta i koeficijentima složenosti poslova u javnim službama, Temeljni kolektivni ugovor za službenike i namještenike u javnim službama, Zakon o ustanovama, Pravilnik o radu Državne škole za javnu upravu</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A677018-ADMINISTRACIJA I UPRAVLJANJE</w:t>
            </w:r>
          </w:p>
        </w:tc>
        <w:tc>
          <w:tcPr>
            <w:tcW w:w="1632.96" w:type="dxa"/>
            <w:vAlign w:val="center"/>
          </w:tcPr>
          <w:p>
            <w:pPr>
              <w:jc w:val="both"/>
              <w:pStyle w:val="CellColumn"/>
            </w:pPr>
            <w:r>
              <w:rPr>
                <w:rFonts w:hAnsi="Times New Roman" w:cs="Times New Roman"/>
              </w:rPr>
              <w:t xml:space="preserve">524.467</w:t>
            </w:r>
          </w:p>
        </w:tc>
        <w:tc>
          <w:tcPr>
            <w:tcW w:w="1632.96" w:type="dxa"/>
            <w:vAlign w:val="center"/>
          </w:tcPr>
          <w:p>
            <w:pPr>
              <w:jc w:val="both"/>
              <w:pStyle w:val="CellColumn"/>
            </w:pPr>
            <w:r>
              <w:rPr>
                <w:rFonts w:hAnsi="Times New Roman" w:cs="Times New Roman"/>
              </w:rPr>
              <w:t xml:space="preserve">1.127.031</w:t>
            </w:r>
          </w:p>
        </w:tc>
        <w:tc>
          <w:tcPr>
            <w:tcW w:w="1632.96" w:type="dxa"/>
            <w:vAlign w:val="center"/>
          </w:tcPr>
          <w:p>
            <w:pPr>
              <w:jc w:val="both"/>
              <w:pStyle w:val="CellColumn"/>
            </w:pPr>
            <w:r>
              <w:rPr>
                <w:rFonts w:hAnsi="Times New Roman" w:cs="Times New Roman"/>
              </w:rPr>
              <w:t xml:space="preserve">1.094.441</w:t>
            </w:r>
          </w:p>
        </w:tc>
        <w:tc>
          <w:tcPr>
            <w:tcW w:w="1632.96" w:type="dxa"/>
            <w:vAlign w:val="center"/>
          </w:tcPr>
          <w:p>
            <w:pPr>
              <w:jc w:val="both"/>
              <w:pStyle w:val="CellColumn"/>
            </w:pPr>
            <w:r>
              <w:rPr>
                <w:rFonts w:hAnsi="Times New Roman" w:cs="Times New Roman"/>
              </w:rPr>
              <w:t xml:space="preserve">1.176.955</w:t>
            </w:r>
          </w:p>
        </w:tc>
        <w:tc>
          <w:tcPr>
            <w:tcW w:w="1632.96" w:type="dxa"/>
            <w:vAlign w:val="center"/>
          </w:tcPr>
          <w:p>
            <w:pPr>
              <w:jc w:val="both"/>
              <w:pStyle w:val="CellColumn"/>
            </w:pPr>
            <w:r>
              <w:rPr>
                <w:rFonts w:hAnsi="Times New Roman" w:cs="Times New Roman"/>
              </w:rPr>
              <w:t xml:space="preserve">1.172.965</w:t>
            </w:r>
          </w:p>
        </w:tc>
        <w:tc>
          <w:tcPr>
            <w:tcW w:w="510.3" w:type="dxa"/>
            <w:vAlign w:val="center"/>
          </w:tcPr>
          <w:p>
            <w:pPr>
              <w:jc w:val="both"/>
              <w:pStyle w:val="CellColumn"/>
            </w:pPr>
            <w:r>
              <w:rPr>
                <w:rFonts w:hAnsi="Times New Roman" w:cs="Times New Roman"/>
              </w:rPr>
              <w:t xml:space="preserve">97,1</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sredstva su osigurana za financiranje rashoda za zaposlene i materijalnih rashoda potrebnih za redovno poslovanje Državne škole za javnu upravu. Od ukupno planiranog iznosa u 2025. na sredstva za plaće i doprinose za 16 službenika odnosi se 499.735 €, na ostale rashode za zaposlene (sukladno Kolektivnom ugovoru za službenike i namještenike u javnim službama) 15.600 €, na naknade za prijevoz na posao i s posla 19.000 €, dok se ostatak sredstava odnosi na materijalne izdatke u kojima se najveći dio odnosi na računalne usluge u iznosu 170.000 €, za održavanje sustava centralnog informacijskog sustava DŠJU i platforme za e-Učenje, kojima će se modernizirati sveukupno poslovanje DŠJU, rashodi za intelektualne i osobne usluge u iznosu 55.000 € za troškove ugovora o djelu, usluge odvjetnika i vještaka, za usluge promidžbe u iznosu 3.000 € i troškove za energiju u iznosu 25.000 €. Za nabavu računalne opreme, izvedbu kabliranja, nabavu dodatnih rezervnih dijelova za projektore i opremu za održavanje edukacija osigurana su sredstva u iznosu 48.000 €. Od ukupno planiranog iznosa u 2026. na sredstva za plaće i doprinose odnosi se 540.675 €, na ostale rashode za zaposlene (prava po Kolektivnom ugovoru) 22.000 €, na naknade za prijevoz na posao i s posla 19.120 €, dok se ostatak sredstava odnosi na materijalne izdatke gdje su najveći iznosi iskazani na istim stavkama rashoda kao i u prethodnoj godini. Od ukupno planiranog iznosa u 2027. na sredstva za plaće i doprinose odnosi se 542.010 €, na ostale rashode za zaposlene (prava po Kolektivnom ugovoru) 22.000 €, na naknade za prijevoz na posao i s posla 18.000 €, dok se ostatak sredstava odnosi na materijalne izdatke gdje su najveći iznosi iskazani na istim stavkama rashoda kao i u prethodnoj godini. Iz ostvarenih Vlastitih prihoda planirana su sredstva za podmirivanje materijalnih rashoda koji se odnose na redovno poslovanje u iznosu od 13.000 € godišnje. Rashodi koji se financiraju iz izvora financiranja 31 – Vlastiti prihodi ostvareni od najma prostora i opreme, većim dijelom se odnose na rashode za intelektualne usluge i naknade građanima i kućanstvima iz kojih se financiraju naknade predavačima.</w:t>
      </w:r>
    </w:p>
    <w:p>
      <w:pPr>
        <w:jc w:val="left"/>
        <w:pStyle w:val="Heading4"/>
      </w:pPr>
      <w:r>
        <w:rPr>
          <w:rFonts w:hAnsi="Times New Roman" w:cs="Times New Roman"/>
        </w:rPr>
        <w:t xml:space="preserve">A677028 PROVEDBA PROGRAMA STRUČNOG USAVRŠAVANJA I IZOBRAZBE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sustavu strateškog planiranja i upravljanja razvojem Republike Hrvatske, Nacionalna razvojna strategija RH do 2030. godine, Razvojni smjer br. 1., Održivo gospodarstvo i društvo, Strateški cilj br. 3. Učinkovito i djelotvorno pravosuđe, javna uprava i upravljanje državnom imovinom, Provedbeni program Ministarstva pravosuđa i uprave za razdoblje 2021.-2024.: Prioritet 3.3. - Kompetentna, dostupna i učinkovita javna uprava, Mjera 9. - Jačanje učinkovitosti zaposlenih u javnoj upravi kroz razvoj kompetencija u skladu sa prioritetima VRH, Mjera 16. - Djelotvorno upravljanje resursima te odnosima s partnerima i korisnicima usluga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A677028-PROVEDBA PROGRAMA STRUČNOG USAVRŠAVANJA I IZOBRAZBE</w:t>
            </w:r>
          </w:p>
        </w:tc>
        <w:tc>
          <w:tcPr>
            <w:tcW w:w="1632.96" w:type="dxa"/>
            <w:vAlign w:val="center"/>
          </w:tcPr>
          <w:p>
            <w:pPr>
              <w:jc w:val="both"/>
              <w:pStyle w:val="CellColumn"/>
            </w:pPr>
            <w:r>
              <w:rPr>
                <w:rFonts w:hAnsi="Times New Roman" w:cs="Times New Roman"/>
              </w:rPr>
              <w:t xml:space="preserve">160.539</w:t>
            </w:r>
          </w:p>
        </w:tc>
        <w:tc>
          <w:tcPr>
            <w:tcW w:w="1632.96" w:type="dxa"/>
            <w:vAlign w:val="center"/>
          </w:tcPr>
          <w:p>
            <w:pPr>
              <w:jc w:val="both"/>
              <w:pStyle w:val="CellColumn"/>
            </w:pPr>
            <w:r>
              <w:rPr>
                <w:rFonts w:hAnsi="Times New Roman" w:cs="Times New Roman"/>
              </w:rPr>
              <w:t xml:space="preserve">160.843</w:t>
            </w:r>
          </w:p>
        </w:tc>
        <w:tc>
          <w:tcPr>
            <w:tcW w:w="1632.96" w:type="dxa"/>
            <w:vAlign w:val="center"/>
          </w:tcPr>
          <w:p>
            <w:pPr>
              <w:jc w:val="both"/>
              <w:pStyle w:val="CellColumn"/>
            </w:pPr>
            <w:r>
              <w:rPr>
                <w:rFonts w:hAnsi="Times New Roman" w:cs="Times New Roman"/>
              </w:rPr>
              <w:t xml:space="preserve">179.403</w:t>
            </w:r>
          </w:p>
        </w:tc>
        <w:tc>
          <w:tcPr>
            <w:tcW w:w="1632.96" w:type="dxa"/>
            <w:vAlign w:val="center"/>
          </w:tcPr>
          <w:p>
            <w:pPr>
              <w:jc w:val="both"/>
              <w:pStyle w:val="CellColumn"/>
            </w:pPr>
            <w:r>
              <w:rPr>
                <w:rFonts w:hAnsi="Times New Roman" w:cs="Times New Roman"/>
              </w:rPr>
              <w:t xml:space="preserve">180.112</w:t>
            </w:r>
          </w:p>
        </w:tc>
        <w:tc>
          <w:tcPr>
            <w:tcW w:w="1632.96" w:type="dxa"/>
            <w:vAlign w:val="center"/>
          </w:tcPr>
          <w:p>
            <w:pPr>
              <w:jc w:val="both"/>
              <w:pStyle w:val="CellColumn"/>
            </w:pPr>
            <w:r>
              <w:rPr>
                <w:rFonts w:hAnsi="Times New Roman" w:cs="Times New Roman"/>
              </w:rPr>
              <w:t xml:space="preserve">209.647</w:t>
            </w:r>
          </w:p>
        </w:tc>
        <w:tc>
          <w:tcPr>
            <w:tcW w:w="510.3" w:type="dxa"/>
            <w:vAlign w:val="center"/>
          </w:tcPr>
          <w:p>
            <w:pPr>
              <w:jc w:val="both"/>
              <w:pStyle w:val="CellColumn"/>
            </w:pPr>
            <w:r>
              <w:rPr>
                <w:rFonts w:hAnsi="Times New Roman" w:cs="Times New Roman"/>
              </w:rPr>
              <w:t xml:space="preserve">111,5</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za 2025. su planirani materijalni rashodi u ukupnom iznosu 179.403 €, od kojih su najznačajniji rashodi za intelektualne usluge u iznosu 150.000 €, a odnose se na stručno usavršavanje i izobrazbu svih službenika u javnoj upravi, odnosno na troškove honorara predavačima za održane radionice i edukacije prema ugovorima o autorskom djelu, ugovorima o djelu i ugovorima s dobavljačima. Kako bi se mogla realizirati djelatnost Škole, potrebno je angažirati predavače i trenere kao vanjske suradnike, a povećanjem broja održanih radionica povećavaju se i rashodi za intelektualne usluge. Rashodi za računalne usluge u iznosu 15.927 € se odnose na usluge ažuriranja računalnih baza i ostale računalne usluge, sa svrhom kontinuirane i nesmetane provedbe programa osnovne djelatnosti Škole. Naknade troškova osobama izvan radnog odnosa u iznosu 9.291€ odnose se na plaćanje troškova puta i smještaja za predavače u slučaju održavanja radionica izvan Zagreba. Planirana sredstva za 2026. i 2027. godinu odnose se na iste troškove kao i za 2025. godinu.</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Razvijeni i provedeni programi usavršavanja u skladu s procjenom potreba</w:t>
            </w:r>
          </w:p>
        </w:tc>
        <w:tc>
          <w:tcPr>
            <w:tcW w:w="2245.32" w:type="dxa"/>
            <w:vAlign w:val="center"/>
          </w:tcPr>
          <w:p>
            <w:pPr>
              <w:jc w:val="both"/>
              <w:pStyle w:val="CellColumn"/>
            </w:pPr>
            <w:r>
              <w:rPr>
                <w:rFonts w:hAnsi="Times New Roman" w:cs="Times New Roman"/>
              </w:rPr>
              <w:t xml:space="preserve">Programi usavršavanja se provode kako bi zaposlenici u javnim ustanovama, agencijama i pravnim osobama s javnim ovlastima bili osposobljeni za obavljanje novih poslova</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94</w:t>
            </w:r>
          </w:p>
        </w:tc>
        <w:tc>
          <w:tcPr>
            <w:tcW w:w="918.54" w:type="dxa"/>
            <w:vAlign w:val="center"/>
          </w:tcPr>
          <w:p>
            <w:pPr>
              <w:jc w:val="both"/>
              <w:pStyle w:val="CellColumn"/>
            </w:pPr>
            <w:r>
              <w:rPr>
                <w:rFonts w:hAnsi="Times New Roman" w:cs="Times New Roman"/>
              </w:rPr>
              <w:t xml:space="preserve">DŠJU</w:t>
            </w:r>
          </w:p>
        </w:tc>
        <w:tc>
          <w:tcPr>
            <w:tcW w:w="918.54" w:type="dxa"/>
            <w:vAlign w:val="center"/>
          </w:tcPr>
          <w:p>
            <w:pPr>
              <w:jc w:val="both"/>
              <w:pStyle w:val="CellColumn"/>
            </w:pPr>
            <w:r>
              <w:rPr>
                <w:rFonts w:hAnsi="Times New Roman" w:cs="Times New Roman"/>
              </w:rPr>
              <w:t xml:space="preserve">97</w:t>
            </w:r>
          </w:p>
        </w:tc>
        <w:tc>
          <w:tcPr>
            <w:tcW w:w="918.54" w:type="dxa"/>
            <w:vAlign w:val="center"/>
          </w:tcPr>
          <w:p>
            <w:pPr>
              <w:jc w:val="both"/>
              <w:pStyle w:val="CellColumn"/>
            </w:pPr>
            <w:r>
              <w:rPr>
                <w:rFonts w:hAnsi="Times New Roman" w:cs="Times New Roman"/>
              </w:rPr>
              <w:t xml:space="preserve">97</w:t>
            </w:r>
          </w:p>
        </w:tc>
        <w:tc>
          <w:tcPr>
            <w:tcW w:w="918.54" w:type="dxa"/>
            <w:vAlign w:val="center"/>
          </w:tcPr>
          <w:p>
            <w:pPr>
              <w:jc w:val="both"/>
              <w:pStyle w:val="CellColumn"/>
            </w:pPr>
            <w:r>
              <w:rPr>
                <w:rFonts w:hAnsi="Times New Roman" w:cs="Times New Roman"/>
              </w:rPr>
              <w:t xml:space="preserve">97</w:t>
            </w:r>
          </w:p>
        </w:tc>
      </w:tr>
      <w:tr>
        <w:trPr>
          <w:cantSplit/>
        </w:trPr>
        <w:tc>
          <w:tcPr>
            <w:tcW w:w="2245.32" w:type="dxa"/>
            <w:vAlign w:val="center"/>
          </w:tcPr>
          <w:p>
            <w:pPr>
              <w:jc w:val="both"/>
              <w:pStyle w:val="CellColumn"/>
            </w:pPr>
            <w:r>
              <w:rPr>
                <w:rFonts w:hAnsi="Times New Roman" w:cs="Times New Roman"/>
              </w:rPr>
              <w:t xml:space="preserve">Razvijeni i provedeni programi za jačanje kompetencija rukovoditelja</w:t>
            </w:r>
          </w:p>
        </w:tc>
        <w:tc>
          <w:tcPr>
            <w:tcW w:w="2245.32" w:type="dxa"/>
            <w:vAlign w:val="center"/>
          </w:tcPr>
          <w:p>
            <w:pPr>
              <w:jc w:val="both"/>
              <w:pStyle w:val="CellColumn"/>
            </w:pPr>
            <w:r>
              <w:rPr>
                <w:rFonts w:hAnsi="Times New Roman" w:cs="Times New Roman"/>
              </w:rPr>
              <w:t xml:space="preserve">Programi za jačanje kompetencija rukovoditelja provode se kako bi svi rukovoditelji bili kompetentni u izvršavanju poslova iz svoje nadležnosti</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5</w:t>
            </w:r>
          </w:p>
        </w:tc>
        <w:tc>
          <w:tcPr>
            <w:tcW w:w="918.54" w:type="dxa"/>
            <w:vAlign w:val="center"/>
          </w:tcPr>
          <w:p>
            <w:pPr>
              <w:jc w:val="both"/>
              <w:pStyle w:val="CellColumn"/>
            </w:pPr>
            <w:r>
              <w:rPr>
                <w:rFonts w:hAnsi="Times New Roman" w:cs="Times New Roman"/>
              </w:rPr>
              <w:t xml:space="preserve">DŠJU</w:t>
            </w:r>
          </w:p>
        </w:tc>
        <w:tc>
          <w:tcPr>
            <w:tcW w:w="918.54" w:type="dxa"/>
            <w:vAlign w:val="center"/>
          </w:tcPr>
          <w:p>
            <w:pPr>
              <w:jc w:val="both"/>
              <w:pStyle w:val="CellColumn"/>
            </w:pPr>
            <w:r>
              <w:rPr>
                <w:rFonts w:hAnsi="Times New Roman" w:cs="Times New Roman"/>
              </w:rPr>
              <w:t xml:space="preserve">7</w:t>
            </w:r>
          </w:p>
        </w:tc>
        <w:tc>
          <w:tcPr>
            <w:tcW w:w="918.54" w:type="dxa"/>
            <w:vAlign w:val="center"/>
          </w:tcPr>
          <w:p>
            <w:pPr>
              <w:jc w:val="both"/>
              <w:pStyle w:val="CellColumn"/>
            </w:pPr>
            <w:r>
              <w:rPr>
                <w:rFonts w:hAnsi="Times New Roman" w:cs="Times New Roman"/>
              </w:rPr>
              <w:t xml:space="preserve">8</w:t>
            </w:r>
          </w:p>
        </w:tc>
        <w:tc>
          <w:tcPr>
            <w:tcW w:w="918.54" w:type="dxa"/>
            <w:vAlign w:val="center"/>
          </w:tcPr>
          <w:p>
            <w:pPr>
              <w:jc w:val="both"/>
              <w:pStyle w:val="CellColumn"/>
            </w:pPr>
            <w:r>
              <w:rPr>
                <w:rFonts w:hAnsi="Times New Roman" w:cs="Times New Roman"/>
              </w:rPr>
              <w:t xml:space="preserve">9</w:t>
            </w:r>
          </w:p>
        </w:tc>
      </w:tr>
      <w:tr>
        <w:trPr>
          <w:cantSplit/>
        </w:trPr>
        <w:tc>
          <w:tcPr>
            <w:tcW w:w="2245.32" w:type="dxa"/>
            <w:vAlign w:val="center"/>
          </w:tcPr>
          <w:p>
            <w:pPr>
              <w:jc w:val="both"/>
              <w:pStyle w:val="CellColumn"/>
            </w:pPr>
            <w:r>
              <w:rPr>
                <w:rFonts w:hAnsi="Times New Roman" w:cs="Times New Roman"/>
              </w:rPr>
              <w:t xml:space="preserve">Broj osposobljenih trenera</w:t>
            </w:r>
          </w:p>
        </w:tc>
        <w:tc>
          <w:tcPr>
            <w:tcW w:w="2245.32" w:type="dxa"/>
            <w:vAlign w:val="center"/>
          </w:tcPr>
          <w:p>
            <w:pPr>
              <w:jc w:val="both"/>
              <w:pStyle w:val="CellColumn"/>
            </w:pPr>
            <w:r>
              <w:rPr>
                <w:rFonts w:hAnsi="Times New Roman" w:cs="Times New Roman"/>
              </w:rPr>
              <w:t xml:space="preserve">Usavršavanje trenera pridonosi jačanju kompetentnosti trenerske mreže</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63</w:t>
            </w:r>
          </w:p>
        </w:tc>
        <w:tc>
          <w:tcPr>
            <w:tcW w:w="918.54" w:type="dxa"/>
            <w:vAlign w:val="center"/>
          </w:tcPr>
          <w:p>
            <w:pPr>
              <w:jc w:val="both"/>
              <w:pStyle w:val="CellColumn"/>
            </w:pPr>
            <w:r>
              <w:rPr>
                <w:rFonts w:hAnsi="Times New Roman" w:cs="Times New Roman"/>
              </w:rPr>
              <w:t xml:space="preserve">DŠJU</w:t>
            </w:r>
          </w:p>
        </w:tc>
        <w:tc>
          <w:tcPr>
            <w:tcW w:w="918.54" w:type="dxa"/>
            <w:vAlign w:val="center"/>
          </w:tcPr>
          <w:p>
            <w:pPr>
              <w:jc w:val="both"/>
              <w:pStyle w:val="CellColumn"/>
            </w:pPr>
            <w:r>
              <w:rPr>
                <w:rFonts w:hAnsi="Times New Roman" w:cs="Times New Roman"/>
              </w:rPr>
              <w:t xml:space="preserve">69</w:t>
            </w:r>
          </w:p>
        </w:tc>
        <w:tc>
          <w:tcPr>
            <w:tcW w:w="918.54" w:type="dxa"/>
            <w:vAlign w:val="center"/>
          </w:tcPr>
          <w:p>
            <w:pPr>
              <w:jc w:val="both"/>
              <w:pStyle w:val="CellColumn"/>
            </w:pPr>
            <w:r>
              <w:rPr>
                <w:rFonts w:hAnsi="Times New Roman" w:cs="Times New Roman"/>
              </w:rPr>
              <w:t xml:space="preserve">70</w:t>
            </w:r>
          </w:p>
        </w:tc>
        <w:tc>
          <w:tcPr>
            <w:tcW w:w="918.54" w:type="dxa"/>
            <w:vAlign w:val="center"/>
          </w:tcPr>
          <w:p>
            <w:pPr>
              <w:jc w:val="both"/>
              <w:pStyle w:val="CellColumn"/>
            </w:pPr>
            <w:r>
              <w:rPr>
                <w:rFonts w:hAnsi="Times New Roman" w:cs="Times New Roman"/>
              </w:rPr>
              <w:t xml:space="preserve">71</w:t>
            </w:r>
          </w:p>
        </w:tc>
      </w:tr>
    </w:tbl>
    <w:p>
      <w:pPr>
        <w:jc w:val="left"/>
      </w:pPr>
      <w:r>
        <w:rPr>
          <w:rFonts w:hAnsi="Times New Roman" w:cs="Times New Roman"/>
        </w:rPr>
        <w:t xml:space="preserve"/>
      </w:r>
    </w:p>
    <w:p>
      <w:pPr>
        <w:jc w:val="left"/>
        <w:pStyle w:val="Heading2"/>
      </w:pPr>
      <w:r>
        <w:rPr>
          <w:rFonts w:hAnsi="Times New Roman" w:cs="Times New Roman"/>
        </w:rPr>
        <w:t xml:space="preserve">10996 Centar za mirno rješavanje sporova</w:t>
      </w:r>
    </w:p>
    <w:p>
      <w:pPr>
        <w:jc w:val="both"/>
        <w:pStyle w:val="Normal3"/>
      </w:pPr>
      <w:r>
        <w:rPr>
          <w:rFonts w:hAnsi="Times New Roman" w:cs="Times New Roman"/>
        </w:rPr>
        <w:t xml:space="preserve">Centar za mirno rješavanje sporova je počeo s radom u srpnju 2023. godine. Jedna od najvažnijih zadaća Centra je sustavno promoviranje medijacije kao alternativnog i za stranke povoljnijeg postupka od formalnog sudskog. Osnivanjem Centra za mirno rješavanje sporova stvoreni su uvjeti za sporazumno rješavanje sporova, izbjegavanje nepotrebnog pokretanja sudskih postupaka te osiguranje uravnoteženog odnosa između postupaka mirnog rješavanja sporova i sudskih postupaka. Centar je javna ustanova koja potiče mirenje, daje suglasnosti institucijama za mirno rješavanje sporova, daje suglasnosti na programe edukacije za pojedine vrste mirnog rješavanja sporova, provodi samostalno ili u suradnji s ovlaštenim institucijama stručno osposobljavanje i usavršavanje medijatora, vodi Registar medijatora i Registar institucija za medijaciju, koji su javno dostupni u elektroničkom obliku, objavljuje informacije o mirnom rješavanju sporova, na zahtjev stranaka imenuje medijatora i drugo.</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10996-Centar za mirno rješavanje sporova</w:t>
            </w:r>
          </w:p>
        </w:tc>
        <w:tc>
          <w:tcPr>
            <w:tcW w:w="1632.96" w:type="dxa"/>
            <w:vAlign w:val="center"/>
          </w:tcPr>
          <w:p>
            <w:pPr>
              <w:jc w:val="both"/>
              <w:pStyle w:val="CellColumn"/>
            </w:pPr>
            <w:r>
              <w:rPr>
                <w:rFonts w:hAnsi="Times New Roman" w:cs="Times New Roman"/>
              </w:rPr>
              <w:t xml:space="preserve">13.645</w:t>
            </w:r>
          </w:p>
        </w:tc>
        <w:tc>
          <w:tcPr>
            <w:tcW w:w="1632.96" w:type="dxa"/>
            <w:vAlign w:val="center"/>
          </w:tcPr>
          <w:p>
            <w:pPr>
              <w:jc w:val="both"/>
              <w:pStyle w:val="CellColumn"/>
            </w:pPr>
            <w:r>
              <w:rPr>
                <w:rFonts w:hAnsi="Times New Roman" w:cs="Times New Roman"/>
              </w:rPr>
              <w:t xml:space="preserve">446.769</w:t>
            </w:r>
          </w:p>
        </w:tc>
        <w:tc>
          <w:tcPr>
            <w:tcW w:w="1632.96" w:type="dxa"/>
            <w:vAlign w:val="center"/>
          </w:tcPr>
          <w:p>
            <w:pPr>
              <w:jc w:val="both"/>
              <w:pStyle w:val="CellColumn"/>
            </w:pPr>
            <w:r>
              <w:rPr>
                <w:rFonts w:hAnsi="Times New Roman" w:cs="Times New Roman"/>
              </w:rPr>
              <w:t xml:space="preserve">868.440</w:t>
            </w:r>
          </w:p>
        </w:tc>
        <w:tc>
          <w:tcPr>
            <w:tcW w:w="1632.96" w:type="dxa"/>
            <w:vAlign w:val="center"/>
          </w:tcPr>
          <w:p>
            <w:pPr>
              <w:jc w:val="both"/>
              <w:pStyle w:val="CellColumn"/>
            </w:pPr>
            <w:r>
              <w:rPr>
                <w:rFonts w:hAnsi="Times New Roman" w:cs="Times New Roman"/>
              </w:rPr>
              <w:t xml:space="preserve">954.710</w:t>
            </w:r>
          </w:p>
        </w:tc>
        <w:tc>
          <w:tcPr>
            <w:tcW w:w="1632.96" w:type="dxa"/>
            <w:vAlign w:val="center"/>
          </w:tcPr>
          <w:p>
            <w:pPr>
              <w:jc w:val="both"/>
              <w:pStyle w:val="CellColumn"/>
            </w:pPr>
            <w:r>
              <w:rPr>
                <w:rFonts w:hAnsi="Times New Roman" w:cs="Times New Roman"/>
              </w:rPr>
              <w:t xml:space="preserve">960.870</w:t>
            </w:r>
          </w:p>
        </w:tc>
        <w:tc>
          <w:tcPr>
            <w:tcW w:w="510.3" w:type="dxa"/>
            <w:vAlign w:val="center"/>
          </w:tcPr>
          <w:p>
            <w:pPr>
              <w:jc w:val="both"/>
              <w:pStyle w:val="CellColumn"/>
            </w:pPr>
            <w:r>
              <w:rPr>
                <w:rFonts w:hAnsi="Times New Roman" w:cs="Times New Roman"/>
              </w:rPr>
              <w:t xml:space="preserve">194,4</w:t>
            </w:r>
          </w:p>
        </w:tc>
      </w:tr>
    </w:tbl>
    <w:p>
      <w:pPr>
        <w:jc w:val="left"/>
      </w:pPr>
      <w:r>
        <w:rPr>
          <w:rFonts w:hAnsi="Times New Roman" w:cs="Times New Roman"/>
        </w:rPr>
        <w:t xml:space="preserve"/>
      </w:r>
    </w:p>
    <w:p>
      <w:pPr>
        <w:jc w:val="left"/>
        <w:pStyle w:val="Heading3"/>
      </w:pPr>
      <w:r>
        <w:rPr>
          <w:rFonts w:hAnsi="Times New Roman" w:cs="Times New Roman"/>
        </w:rPr>
        <w:t xml:space="preserve">2803 VOĐENJE SUDSKIH POSTUPAKA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2803-VOĐENJE SUDSKIH POSTUPAKA</w:t>
            </w:r>
          </w:p>
        </w:tc>
        <w:tc>
          <w:tcPr>
            <w:tcW w:w="1632.96" w:type="dxa"/>
            <w:vAlign w:val="center"/>
          </w:tcPr>
          <w:p>
            <w:pPr>
              <w:jc w:val="both"/>
              <w:pStyle w:val="CellColumn"/>
            </w:pPr>
            <w:r>
              <w:rPr>
                <w:rFonts w:hAnsi="Times New Roman" w:cs="Times New Roman"/>
              </w:rPr>
              <w:t xml:space="preserve">13.645</w:t>
            </w:r>
          </w:p>
        </w:tc>
        <w:tc>
          <w:tcPr>
            <w:tcW w:w="1632.96" w:type="dxa"/>
            <w:vAlign w:val="center"/>
          </w:tcPr>
          <w:p>
            <w:pPr>
              <w:jc w:val="both"/>
              <w:pStyle w:val="CellColumn"/>
            </w:pPr>
            <w:r>
              <w:rPr>
                <w:rFonts w:hAnsi="Times New Roman" w:cs="Times New Roman"/>
              </w:rPr>
              <w:t xml:space="preserve">446.769</w:t>
            </w:r>
          </w:p>
        </w:tc>
        <w:tc>
          <w:tcPr>
            <w:tcW w:w="1632.96" w:type="dxa"/>
            <w:vAlign w:val="center"/>
          </w:tcPr>
          <w:p>
            <w:pPr>
              <w:jc w:val="both"/>
              <w:pStyle w:val="CellColumn"/>
            </w:pPr>
            <w:r>
              <w:rPr>
                <w:rFonts w:hAnsi="Times New Roman" w:cs="Times New Roman"/>
              </w:rPr>
              <w:t xml:space="preserve">868.440</w:t>
            </w:r>
          </w:p>
        </w:tc>
        <w:tc>
          <w:tcPr>
            <w:tcW w:w="1632.96" w:type="dxa"/>
            <w:vAlign w:val="center"/>
          </w:tcPr>
          <w:p>
            <w:pPr>
              <w:jc w:val="both"/>
              <w:pStyle w:val="CellColumn"/>
            </w:pPr>
            <w:r>
              <w:rPr>
                <w:rFonts w:hAnsi="Times New Roman" w:cs="Times New Roman"/>
              </w:rPr>
              <w:t xml:space="preserve">954.710</w:t>
            </w:r>
          </w:p>
        </w:tc>
        <w:tc>
          <w:tcPr>
            <w:tcW w:w="1632.96" w:type="dxa"/>
            <w:vAlign w:val="center"/>
          </w:tcPr>
          <w:p>
            <w:pPr>
              <w:jc w:val="both"/>
              <w:pStyle w:val="CellColumn"/>
            </w:pPr>
            <w:r>
              <w:rPr>
                <w:rFonts w:hAnsi="Times New Roman" w:cs="Times New Roman"/>
              </w:rPr>
              <w:t xml:space="preserve">960.870</w:t>
            </w:r>
          </w:p>
        </w:tc>
        <w:tc>
          <w:tcPr>
            <w:tcW w:w="510.3" w:type="dxa"/>
            <w:vAlign w:val="center"/>
          </w:tcPr>
          <w:p>
            <w:pPr>
              <w:jc w:val="both"/>
              <w:pStyle w:val="CellColumn"/>
            </w:pPr>
            <w:r>
              <w:rPr>
                <w:rFonts w:hAnsi="Times New Roman" w:cs="Times New Roman"/>
              </w:rPr>
              <w:t xml:space="preserve">194,4</w:t>
            </w:r>
          </w:p>
        </w:tc>
      </w:tr>
    </w:tbl>
    <w:p>
      <w:pPr>
        <w:jc w:val="left"/>
      </w:pPr>
      <w:r>
        <w:rPr>
          <w:rFonts w:hAnsi="Times New Roman" w:cs="Times New Roman"/>
        </w:rPr>
        <w:t xml:space="preserve"/>
      </w:r>
    </w:p>
    <w:p>
      <w:pPr>
        <w:jc w:val="left"/>
        <w:pStyle w:val="Heading7"/>
      </w:pPr>
      <w:r>
        <w:rPr>
          <w:rFonts w:hAnsi="Times New Roman" w:cs="Times New Roman"/>
        </w:rPr>
        <w:t xml:space="preserve">Cilj 1. Stvoriti uvjete za sporazumno rješavanje sporova, izbjegavanje nepotrebnog pokretanja sudskih postupaka te osiguravanje uravnoteženog odnosa između postupka mirnog rješavanja spora i sudskog postupka </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Uspostavljen sustav za vođenje registra medijator</w:t>
            </w:r>
          </w:p>
        </w:tc>
        <w:tc>
          <w:tcPr>
            <w:tcW w:w="2245.32" w:type="dxa"/>
            <w:vAlign w:val="center"/>
          </w:tcPr>
          <w:p>
            <w:pPr>
              <w:jc w:val="both"/>
              <w:pStyle w:val="CellColumn"/>
            </w:pPr>
            <w:r>
              <w:rPr>
                <w:rFonts w:hAnsi="Times New Roman" w:cs="Times New Roman"/>
              </w:rPr>
              <w:t xml:space="preserve">Povećanje učinkovitosti rada institucija koje provode medijaciju vođenjem registra medijatora</w:t>
            </w:r>
          </w:p>
        </w:tc>
        <w:tc>
          <w:tcPr>
            <w:tcW w:w="918.54" w:type="dxa"/>
            <w:vAlign w:val="center"/>
          </w:tcPr>
          <w:p>
            <w:pPr>
              <w:jc w:val="both"/>
              <w:pStyle w:val="CellColumn"/>
            </w:pPr>
            <w:r>
              <w:rPr>
                <w:rFonts w:hAnsi="Times New Roman" w:cs="Times New Roman"/>
              </w:rPr>
              <w:t xml:space="preserve">postotak</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CMRS</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20</w:t>
            </w:r>
          </w:p>
        </w:tc>
      </w:tr>
    </w:tbl>
    <w:p>
      <w:pPr>
        <w:jc w:val="left"/>
      </w:pPr>
      <w:r>
        <w:rPr>
          <w:rFonts w:hAnsi="Times New Roman" w:cs="Times New Roman"/>
        </w:rPr>
        <w:t xml:space="preserve"/>
      </w:r>
    </w:p>
    <w:p>
      <w:pPr>
        <w:jc w:val="left"/>
        <w:pStyle w:val="Heading4"/>
      </w:pPr>
      <w:r>
        <w:rPr>
          <w:rFonts w:hAnsi="Times New Roman" w:cs="Times New Roman"/>
        </w:rPr>
        <w:t xml:space="preserve">A943001 MIRNO (SPORAZUMNO) RJEŠAVANJE SPOROVA PRIJE ILI TIJEKOM SUDSKOG POSTUPKA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mirnom rješavanju sporova, Rješenje o osnivanju Centra za mirno rješavanje sporova (KLASA: 700-03/23-02/39, URBROJ: 514-03-02-01/01-23-20 od 24. srpnja 2023.)</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2023. (eur)</w:t>
            </w:r>
          </w:p>
        </w:tc>
        <w:tc>
          <w:tcPr>
            <w:tcW w:w="1632.96" w:type="dxa"/>
            <w:vAlign w:val="center"/>
            <w:shd w:val="clear" w:color="auto" w:fill="b5c0d8"/>
          </w:tcPr>
          <w:p>
            <w:pPr>
              <w:jc w:val="both"/>
              <w:pStyle w:val="CellHeader"/>
            </w:pPr>
            <w:r>
              <w:rPr>
                <w:rFonts w:hAnsi="Times New Roman" w:cs="Times New Roman"/>
              </w:rPr>
              <w:t xml:space="preserve">Plan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510.3" w:type="dxa"/>
            <w:vAlign w:val="center"/>
            <w:shd w:val="clear" w:color="auto" w:fill="b5c0d8"/>
          </w:tcPr>
          <w:p>
            <w:pPr>
              <w:jc w:val="both"/>
              <w:pStyle w:val="CellHeader"/>
            </w:pPr>
            <w:r>
              <w:rPr>
                <w:rFonts w:hAnsi="Times New Roman" w:cs="Times New Roman"/>
              </w:rPr>
              <w:t xml:space="preserve">Indeks 2025/2024</w:t>
            </w:r>
          </w:p>
        </w:tc>
      </w:tr>
      <w:tr>
        <w:trPr>
          <w:cantSplit/>
        </w:trPr>
        <w:tc>
          <w:tcPr>
            <w:tcW w:w="1530.8999999999999" w:type="dxa"/>
            <w:vAlign w:val="center"/>
          </w:tcPr>
          <w:p>
            <w:pPr>
              <w:jc w:val="both"/>
              <w:pStyle w:val="CellColumn"/>
            </w:pPr>
            <w:r>
              <w:rPr>
                <w:rFonts w:hAnsi="Times New Roman" w:cs="Times New Roman"/>
              </w:rPr>
              <w:t xml:space="preserve">A943001-MIRNO (SPORAZUMNO) RJEŠAVANJE SPOROVA PRIJE ILI TIJEKOM SUDSKOG POSTUPKA</w:t>
            </w:r>
          </w:p>
        </w:tc>
        <w:tc>
          <w:tcPr>
            <w:tcW w:w="1632.96" w:type="dxa"/>
            <w:vAlign w:val="center"/>
          </w:tcPr>
          <w:p>
            <w:pPr>
              <w:jc w:val="both"/>
              <w:pStyle w:val="CellColumn"/>
            </w:pPr>
            <w:r>
              <w:rPr>
                <w:rFonts w:hAnsi="Times New Roman" w:cs="Times New Roman"/>
              </w:rPr>
              <w:t xml:space="preserve">13.645</w:t>
            </w:r>
          </w:p>
        </w:tc>
        <w:tc>
          <w:tcPr>
            <w:tcW w:w="1632.96" w:type="dxa"/>
            <w:vAlign w:val="center"/>
          </w:tcPr>
          <w:p>
            <w:pPr>
              <w:jc w:val="both"/>
              <w:pStyle w:val="CellColumn"/>
            </w:pPr>
            <w:r>
              <w:rPr>
                <w:rFonts w:hAnsi="Times New Roman" w:cs="Times New Roman"/>
              </w:rPr>
              <w:t xml:space="preserve">446.769</w:t>
            </w:r>
          </w:p>
        </w:tc>
        <w:tc>
          <w:tcPr>
            <w:tcW w:w="1632.96" w:type="dxa"/>
            <w:vAlign w:val="center"/>
          </w:tcPr>
          <w:p>
            <w:pPr>
              <w:jc w:val="both"/>
              <w:pStyle w:val="CellColumn"/>
            </w:pPr>
            <w:r>
              <w:rPr>
                <w:rFonts w:hAnsi="Times New Roman" w:cs="Times New Roman"/>
              </w:rPr>
              <w:t xml:space="preserve">868.440</w:t>
            </w:r>
          </w:p>
        </w:tc>
        <w:tc>
          <w:tcPr>
            <w:tcW w:w="1632.96" w:type="dxa"/>
            <w:vAlign w:val="center"/>
          </w:tcPr>
          <w:p>
            <w:pPr>
              <w:jc w:val="both"/>
              <w:pStyle w:val="CellColumn"/>
            </w:pPr>
            <w:r>
              <w:rPr>
                <w:rFonts w:hAnsi="Times New Roman" w:cs="Times New Roman"/>
              </w:rPr>
              <w:t xml:space="preserve">954.710</w:t>
            </w:r>
          </w:p>
        </w:tc>
        <w:tc>
          <w:tcPr>
            <w:tcW w:w="1632.96" w:type="dxa"/>
            <w:vAlign w:val="center"/>
          </w:tcPr>
          <w:p>
            <w:pPr>
              <w:jc w:val="both"/>
              <w:pStyle w:val="CellColumn"/>
            </w:pPr>
            <w:r>
              <w:rPr>
                <w:rFonts w:hAnsi="Times New Roman" w:cs="Times New Roman"/>
              </w:rPr>
              <w:t xml:space="preserve">960.870</w:t>
            </w:r>
          </w:p>
        </w:tc>
        <w:tc>
          <w:tcPr>
            <w:tcW w:w="510.3" w:type="dxa"/>
            <w:vAlign w:val="center"/>
          </w:tcPr>
          <w:p>
            <w:pPr>
              <w:jc w:val="both"/>
              <w:pStyle w:val="CellColumn"/>
            </w:pPr>
            <w:r>
              <w:rPr>
                <w:rFonts w:hAnsi="Times New Roman" w:cs="Times New Roman"/>
              </w:rPr>
              <w:t xml:space="preserve">194,4</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su osigurana sredstva za financiranje rashoda za zaposlene i materijalnih rashoda za redovan rad Centra za mirno rješavanje sporova. Najveći udio u planiranim sredstvima se odnosi na plaće i doprinose za 27 zaposlenika (15 u sjedištu centra, a 12 po podružnicama u Osijeku, Splitu i Rijeci). Za 2025. je na rashodima za plaće i doprinose na plaće planirano 661.270 €, za 2026. ti rashodi iznose 739.590 €,  a za 2027. iznose 743.150 €. Planirana sredstva za 2026. i 2027. su povećana za iznos minulog rada. Preostala planirana sredstva odnose se na materijalne rashode, od kojih se najveći dio odnosi na službena putovanja. Dolazak i odlazak voditelja podružnica iz Splita, Osijeka i Rijeke u Zagreb je neophodan za sudjelovanje na dodatnim obukama kao i stručnim seminarima i radionicama koje se organiziraju, najvećim dijelom, u Zagrebu. Planirani rashodi za usluge promidžbe i informiranja odnose se na objave oglasa za zapošljavanje u Narodnim novinama za popunu novih radnih mjesta, kao i za promociju i vidljivost Centra i medijacije, a sve sukladno zakonskim propisima. Sredstva planirana za zakupe odnose se na povećanje kapaciteta Centra, kao i na dodatne prostore u Rijeci, Osijeku i Splitu ukoliko se ne uspiju osigurati prostori u vlasništvu države.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(2025.)</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r>
      <w:tr>
        <w:trPr>
          <w:cantSplit/>
        </w:trPr>
        <w:tc>
          <w:tcPr>
            <w:tcW w:w="2245.32" w:type="dxa"/>
            <w:vAlign w:val="center"/>
          </w:tcPr>
          <w:p>
            <w:pPr>
              <w:jc w:val="both"/>
              <w:pStyle w:val="CellColumn"/>
            </w:pPr>
            <w:r>
              <w:rPr>
                <w:rFonts w:hAnsi="Times New Roman" w:cs="Times New Roman"/>
              </w:rPr>
              <w:t xml:space="preserve">Broj upisanih medijatora</w:t>
            </w:r>
          </w:p>
        </w:tc>
        <w:tc>
          <w:tcPr>
            <w:tcW w:w="2245.32" w:type="dxa"/>
            <w:vAlign w:val="center"/>
          </w:tcPr>
          <w:p>
            <w:pPr>
              <w:jc w:val="both"/>
              <w:pStyle w:val="CellColumn"/>
            </w:pPr>
            <w:r>
              <w:rPr>
                <w:rFonts w:hAnsi="Times New Roman" w:cs="Times New Roman"/>
              </w:rPr>
              <w:t xml:space="preserve">Centar za mirno rješavanje sporova po pravomoćnosti rješenja upisuje medijatore u registar</w:t>
            </w:r>
          </w:p>
        </w:tc>
        <w:tc>
          <w:tcPr>
            <w:tcW w:w="918.54" w:type="dxa"/>
            <w:vAlign w:val="center"/>
          </w:tcPr>
          <w:p>
            <w:pPr>
              <w:jc w:val="both"/>
              <w:pStyle w:val="CellColumn"/>
            </w:pPr>
            <w:r>
              <w:rPr>
                <w:rFonts w:hAnsi="Times New Roman" w:cs="Times New Roman"/>
              </w:rPr>
              <w:t xml:space="preserve">broj</w:t>
            </w:r>
          </w:p>
        </w:tc>
        <w:tc>
          <w:tcPr>
            <w:tcW w:w="918.54" w:type="dxa"/>
            <w:vAlign w:val="center"/>
          </w:tcPr>
          <w:p>
            <w:pPr>
              <w:jc w:val="both"/>
              <w:pStyle w:val="CellColumn"/>
            </w:pPr>
            <w:r>
              <w:rPr>
                <w:rFonts w:hAnsi="Times New Roman" w:cs="Times New Roman"/>
              </w:rPr>
              <w:t xml:space="preserve">20</w:t>
            </w:r>
          </w:p>
        </w:tc>
        <w:tc>
          <w:tcPr>
            <w:tcW w:w="918.54" w:type="dxa"/>
            <w:vAlign w:val="center"/>
          </w:tcPr>
          <w:p>
            <w:pPr>
              <w:jc w:val="both"/>
              <w:pStyle w:val="CellColumn"/>
            </w:pPr>
            <w:r>
              <w:rPr>
                <w:rFonts w:hAnsi="Times New Roman" w:cs="Times New Roman"/>
              </w:rPr>
              <w:t xml:space="preserve">CMRS</w:t>
            </w:r>
          </w:p>
        </w:tc>
        <w:tc>
          <w:tcPr>
            <w:tcW w:w="918.54" w:type="dxa"/>
            <w:vAlign w:val="center"/>
          </w:tcPr>
          <w:p>
            <w:pPr>
              <w:jc w:val="both"/>
              <w:pStyle w:val="CellColumn"/>
            </w:pPr>
            <w:r>
              <w:rPr>
                <w:rFonts w:hAnsi="Times New Roman" w:cs="Times New Roman"/>
              </w:rPr>
              <w:t xml:space="preserve">29</w:t>
            </w:r>
          </w:p>
        </w:tc>
        <w:tc>
          <w:tcPr>
            <w:tcW w:w="918.54" w:type="dxa"/>
            <w:vAlign w:val="center"/>
          </w:tcPr>
          <w:p>
            <w:pPr>
              <w:jc w:val="both"/>
              <w:pStyle w:val="CellColumn"/>
            </w:pPr>
            <w:r>
              <w:rPr>
                <w:rFonts w:hAnsi="Times New Roman" w:cs="Times New Roman"/>
              </w:rPr>
              <w:t xml:space="preserve">35</w:t>
            </w:r>
          </w:p>
        </w:tc>
        <w:tc>
          <w:tcPr>
            <w:tcW w:w="918.54" w:type="dxa"/>
            <w:vAlign w:val="center"/>
          </w:tcPr>
          <w:p>
            <w:pPr>
              <w:jc w:val="both"/>
              <w:pStyle w:val="CellColumn"/>
            </w:pPr>
            <w:r>
              <w:rPr>
                <w:rFonts w:hAnsi="Times New Roman" w:cs="Times New Roman"/>
              </w:rPr>
              <w:t xml:space="preserve">40</w:t>
            </w:r>
          </w:p>
        </w:tc>
      </w:tr>
    </w:tbl>
    <w:p>
      <w:pPr>
        <w:jc w:val="left"/>
      </w:pPr>
      <w:r>
        <w:rPr>
          <w:rFonts w:hAnsi="Times New Roman" w:cs="Times New Roman"/>
        </w:rPr>
        <w:t xml:space="preserve"/>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